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9A130" w14:textId="7CD36614" w:rsidR="005036E2" w:rsidRPr="00EE6198" w:rsidRDefault="005036E2" w:rsidP="005036E2">
      <w:pPr>
        <w:pStyle w:val="ae"/>
        <w:tabs>
          <w:tab w:val="right" w:pos="9639"/>
        </w:tabs>
        <w:rPr>
          <w:sz w:val="24"/>
          <w:lang w:val="en-GB" w:eastAsia="zh-CN"/>
        </w:rPr>
      </w:pPr>
      <w:r w:rsidRPr="00E3225E">
        <w:rPr>
          <w:sz w:val="24"/>
          <w:lang w:val="en-GB" w:eastAsia="zh-CN"/>
        </w:rPr>
        <w:t>3GPP TSG-RAN WG</w:t>
      </w:r>
      <w:r>
        <w:rPr>
          <w:sz w:val="24"/>
          <w:lang w:val="en-GB" w:eastAsia="zh-CN"/>
        </w:rPr>
        <w:t>1</w:t>
      </w:r>
      <w:r w:rsidRPr="00E3225E">
        <w:rPr>
          <w:sz w:val="24"/>
          <w:lang w:val="en-GB" w:eastAsia="zh-CN"/>
        </w:rPr>
        <w:t xml:space="preserve"> </w:t>
      </w:r>
      <w:r>
        <w:rPr>
          <w:sz w:val="24"/>
          <w:lang w:val="en-GB" w:eastAsia="zh-CN"/>
        </w:rPr>
        <w:t>Meeting #94bis</w:t>
      </w:r>
      <w:r w:rsidRPr="00EE6198">
        <w:rPr>
          <w:sz w:val="24"/>
          <w:lang w:val="en-GB" w:eastAsia="zh-CN"/>
        </w:rPr>
        <w:tab/>
      </w:r>
      <w:r w:rsidR="00913961" w:rsidRPr="00913961">
        <w:rPr>
          <w:sz w:val="24"/>
          <w:lang w:val="en-GB" w:eastAsia="zh-CN"/>
        </w:rPr>
        <w:t>R1-1811443</w:t>
      </w:r>
      <w:bookmarkStart w:id="0" w:name="_GoBack"/>
      <w:bookmarkEnd w:id="0"/>
    </w:p>
    <w:p w14:paraId="4361603B" w14:textId="6059644F" w:rsidR="00D52796" w:rsidRPr="00D52796" w:rsidRDefault="005036E2" w:rsidP="005036E2">
      <w:pPr>
        <w:pStyle w:val="ae"/>
        <w:tabs>
          <w:tab w:val="right" w:pos="9639"/>
        </w:tabs>
        <w:rPr>
          <w:sz w:val="24"/>
          <w:lang w:eastAsia="zh-CN"/>
        </w:rPr>
      </w:pPr>
      <w:r w:rsidRPr="00396A5E">
        <w:rPr>
          <w:sz w:val="24"/>
          <w:lang w:eastAsia="zh-CN"/>
        </w:rPr>
        <w:t>Chengdu, China, October 8th – 12th, 2018</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3214DEDE"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4F1398">
        <w:rPr>
          <w:rFonts w:cs="Arial"/>
          <w:b/>
          <w:bCs/>
          <w:sz w:val="24"/>
          <w:lang w:val="en-US"/>
        </w:rPr>
        <w:t>2</w:t>
      </w:r>
      <w:r w:rsidR="00A70DE7">
        <w:rPr>
          <w:rFonts w:cs="Arial"/>
          <w:b/>
          <w:bCs/>
          <w:sz w:val="24"/>
          <w:lang w:val="en-US"/>
        </w:rPr>
        <w:t>.</w:t>
      </w:r>
      <w:r w:rsidR="004F1398">
        <w:rPr>
          <w:rFonts w:cs="Arial"/>
          <w:b/>
          <w:bCs/>
          <w:sz w:val="24"/>
          <w:lang w:val="en-US"/>
        </w:rPr>
        <w:t>2</w:t>
      </w:r>
      <w:r w:rsidR="00A70DE7">
        <w:rPr>
          <w:rFonts w:cs="Arial"/>
          <w:b/>
          <w:bCs/>
          <w:sz w:val="24"/>
          <w:lang w:val="en-US"/>
        </w:rPr>
        <w:t>.</w:t>
      </w:r>
      <w:r w:rsidR="004F1398">
        <w:rPr>
          <w:rFonts w:cs="Arial"/>
          <w:b/>
          <w:bCs/>
          <w:sz w:val="24"/>
          <w:lang w:val="en-US"/>
        </w:rPr>
        <w:t>4.</w:t>
      </w:r>
      <w:r w:rsidR="00A70DE7">
        <w:rPr>
          <w:rFonts w:cs="Arial"/>
          <w:b/>
          <w:bCs/>
          <w:sz w:val="24"/>
          <w:lang w:val="en-US"/>
        </w:rPr>
        <w:t>2</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00A0D403"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80A94" w:rsidRPr="00980A94">
        <w:rPr>
          <w:rFonts w:ascii="Arial" w:hAnsi="Arial" w:cs="Arial"/>
          <w:b/>
          <w:bCs/>
          <w:sz w:val="24"/>
        </w:rPr>
        <w:t>Initial access and mobility for NR-U</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13AFD853" w14:textId="737E275C" w:rsidR="00600479" w:rsidRPr="00154E4B" w:rsidRDefault="0062121E"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I</w:t>
      </w:r>
      <w:r>
        <w:rPr>
          <w:rFonts w:eastAsiaTheme="minorEastAsia"/>
          <w:szCs w:val="20"/>
          <w:lang w:eastAsia="ko-KR"/>
        </w:rPr>
        <w:t>n RAN1#9</w:t>
      </w:r>
      <w:r w:rsidR="00A6768C">
        <w:rPr>
          <w:rFonts w:eastAsiaTheme="minorEastAsia"/>
          <w:szCs w:val="20"/>
          <w:lang w:eastAsia="ko-KR"/>
        </w:rPr>
        <w:t>4</w:t>
      </w:r>
      <w:r>
        <w:rPr>
          <w:rFonts w:eastAsiaTheme="minorEastAsia"/>
          <w:szCs w:val="20"/>
          <w:lang w:eastAsia="ko-KR"/>
        </w:rPr>
        <w:t>, following agreements</w:t>
      </w:r>
      <w:r w:rsidR="00480CF9">
        <w:rPr>
          <w:rFonts w:eastAsiaTheme="minorEastAsia"/>
          <w:szCs w:val="20"/>
          <w:lang w:eastAsia="ko-KR"/>
        </w:rPr>
        <w:t xml:space="preserve"> on initial access and mobility issue</w:t>
      </w:r>
      <w:r>
        <w:rPr>
          <w:rFonts w:eastAsiaTheme="minorEastAsia"/>
          <w:szCs w:val="20"/>
          <w:lang w:eastAsia="ko-KR"/>
        </w:rPr>
        <w:t xml:space="preserve"> </w:t>
      </w:r>
      <w:r w:rsidR="00F5721E">
        <w:rPr>
          <w:rFonts w:eastAsiaTheme="minorEastAsia"/>
          <w:szCs w:val="20"/>
          <w:lang w:eastAsia="ko-KR"/>
        </w:rPr>
        <w:t xml:space="preserve">for NR-U </w:t>
      </w:r>
      <w:r>
        <w:rPr>
          <w:rFonts w:eastAsiaTheme="minorEastAsia"/>
          <w:szCs w:val="20"/>
          <w:lang w:eastAsia="ko-KR"/>
        </w:rPr>
        <w:t>are made in RAN1</w:t>
      </w:r>
      <w:r w:rsidR="00480CF9">
        <w:rPr>
          <w:rFonts w:eastAsiaTheme="minorEastAsia"/>
          <w:szCs w:val="20"/>
          <w:lang w:eastAsia="ko-KR"/>
        </w:rPr>
        <w:t xml:space="preserve"> [1]:</w:t>
      </w:r>
    </w:p>
    <w:tbl>
      <w:tblPr>
        <w:tblStyle w:val="ac"/>
        <w:tblW w:w="0" w:type="auto"/>
        <w:tblLook w:val="04A0" w:firstRow="1" w:lastRow="0" w:firstColumn="1" w:lastColumn="0" w:noHBand="0" w:noVBand="1"/>
      </w:tblPr>
      <w:tblGrid>
        <w:gridCol w:w="9629"/>
      </w:tblGrid>
      <w:tr w:rsidR="004509C2" w14:paraId="63BEF604" w14:textId="77777777" w:rsidTr="004509C2">
        <w:tc>
          <w:tcPr>
            <w:tcW w:w="9629" w:type="dxa"/>
          </w:tcPr>
          <w:p w14:paraId="14ECBB01" w14:textId="77777777" w:rsidR="00A6768C" w:rsidRPr="00A6768C" w:rsidRDefault="00A6768C" w:rsidP="00A6768C">
            <w:pPr>
              <w:spacing w:after="0" w:line="240" w:lineRule="auto"/>
              <w:ind w:left="720" w:hanging="720"/>
              <w:rPr>
                <w:rFonts w:ascii="Times" w:eastAsia="바탕" w:hAnsi="Times"/>
                <w:color w:val="auto"/>
                <w:szCs w:val="24"/>
                <w:lang w:eastAsia="x-none"/>
              </w:rPr>
            </w:pPr>
            <w:r w:rsidRPr="00A6768C">
              <w:rPr>
                <w:rFonts w:ascii="Times" w:eastAsia="바탕" w:hAnsi="Times"/>
                <w:color w:val="auto"/>
                <w:szCs w:val="24"/>
                <w:highlight w:val="green"/>
                <w:lang w:eastAsia="x-none"/>
              </w:rPr>
              <w:t>Agreement:</w:t>
            </w:r>
          </w:p>
          <w:p w14:paraId="58CEE430" w14:textId="77777777" w:rsidR="00A6768C" w:rsidRPr="00A6768C" w:rsidRDefault="00A6768C" w:rsidP="00A6768C">
            <w:pPr>
              <w:numPr>
                <w:ilvl w:val="0"/>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 xml:space="preserve">It is recommended to define a mechanism to transmit SSBs dropped due to LBT failure </w:t>
            </w:r>
          </w:p>
          <w:p w14:paraId="1414E294" w14:textId="77777777" w:rsidR="00A6768C" w:rsidRPr="00A6768C" w:rsidRDefault="00A6768C" w:rsidP="00A6768C">
            <w:pPr>
              <w:numPr>
                <w:ilvl w:val="0"/>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Following are examples of candidate mechanisms for further consideration with enhancements or modifications not precluded:</w:t>
            </w:r>
          </w:p>
          <w:p w14:paraId="0044F2C7" w14:textId="77777777" w:rsidR="00A6768C" w:rsidRPr="00A6768C" w:rsidRDefault="00A6768C" w:rsidP="00A6768C">
            <w:pPr>
              <w:numPr>
                <w:ilvl w:val="1"/>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 xml:space="preserve">Alt-1: Shift SSB(s) in time to the next transmission instance </w:t>
            </w:r>
          </w:p>
          <w:p w14:paraId="702279CE" w14:textId="77777777" w:rsidR="00A6768C" w:rsidRPr="00A6768C" w:rsidRDefault="00A6768C" w:rsidP="00A6768C">
            <w:pPr>
              <w:numPr>
                <w:ilvl w:val="1"/>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Alt-2: Cyclically wrap the SSBs dropped due to LBT failure around to the end of the burst set transmission</w:t>
            </w:r>
          </w:p>
          <w:p w14:paraId="75A7D8E8" w14:textId="77777777" w:rsidR="00A6768C" w:rsidRPr="00A6768C" w:rsidRDefault="00A6768C" w:rsidP="00A6768C">
            <w:pPr>
              <w:numPr>
                <w:ilvl w:val="1"/>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Alt-3: Network to flexibly position SSB index and indicate the timing information</w:t>
            </w:r>
          </w:p>
          <w:p w14:paraId="43393B49" w14:textId="77777777" w:rsidR="00A6768C" w:rsidRPr="00A6768C" w:rsidRDefault="00A6768C" w:rsidP="00A6768C">
            <w:pPr>
              <w:numPr>
                <w:ilvl w:val="1"/>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Other alternatives are not precluded</w:t>
            </w:r>
          </w:p>
          <w:p w14:paraId="05A434DE" w14:textId="77777777" w:rsidR="00A6768C" w:rsidRPr="00A6768C" w:rsidRDefault="00A6768C" w:rsidP="00A6768C">
            <w:pPr>
              <w:numPr>
                <w:ilvl w:val="0"/>
                <w:numId w:val="32"/>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It is recommended to define a mechanism for UE(s) to determine the timing and QCL assumptions from the detected SSB</w:t>
            </w:r>
          </w:p>
          <w:p w14:paraId="078CD7DB" w14:textId="77777777" w:rsidR="00A6768C" w:rsidRPr="00A6768C" w:rsidRDefault="00A6768C" w:rsidP="00A6768C">
            <w:pPr>
              <w:spacing w:after="0" w:line="240" w:lineRule="auto"/>
              <w:ind w:left="720" w:hanging="720"/>
              <w:rPr>
                <w:rFonts w:ascii="Times" w:eastAsia="바탕" w:hAnsi="Times"/>
                <w:color w:val="auto"/>
                <w:szCs w:val="24"/>
                <w:lang w:eastAsia="x-none"/>
              </w:rPr>
            </w:pPr>
          </w:p>
          <w:p w14:paraId="4141B0AB" w14:textId="77777777" w:rsidR="00A6768C" w:rsidRPr="00A6768C" w:rsidRDefault="00A6768C" w:rsidP="00A6768C">
            <w:pPr>
              <w:spacing w:after="0" w:line="240" w:lineRule="auto"/>
              <w:ind w:left="720" w:hanging="720"/>
              <w:rPr>
                <w:rFonts w:ascii="Times" w:eastAsia="바탕" w:hAnsi="Times"/>
                <w:color w:val="auto"/>
                <w:szCs w:val="24"/>
                <w:lang w:eastAsia="x-none"/>
              </w:rPr>
            </w:pPr>
            <w:r w:rsidRPr="00A6768C">
              <w:rPr>
                <w:rFonts w:ascii="Times" w:eastAsia="바탕" w:hAnsi="Times"/>
                <w:color w:val="auto"/>
                <w:szCs w:val="24"/>
                <w:highlight w:val="green"/>
                <w:lang w:eastAsia="x-none"/>
              </w:rPr>
              <w:t>Agreement:</w:t>
            </w:r>
            <w:r w:rsidRPr="00A6768C">
              <w:rPr>
                <w:rFonts w:ascii="Times" w:eastAsia="바탕" w:hAnsi="Times"/>
                <w:color w:val="auto"/>
                <w:szCs w:val="24"/>
                <w:lang w:eastAsia="x-none"/>
              </w:rPr>
              <w:t xml:space="preserve"> </w:t>
            </w:r>
          </w:p>
          <w:p w14:paraId="10236E3C" w14:textId="77777777" w:rsidR="00A6768C" w:rsidRPr="00A6768C" w:rsidRDefault="00A6768C" w:rsidP="00A6768C">
            <w:pPr>
              <w:spacing w:after="0" w:line="240" w:lineRule="auto"/>
              <w:ind w:left="720" w:hanging="720"/>
              <w:rPr>
                <w:rFonts w:ascii="Times" w:eastAsia="바탕" w:hAnsi="Times"/>
                <w:color w:val="auto"/>
                <w:szCs w:val="24"/>
                <w:lang w:eastAsia="x-none"/>
              </w:rPr>
            </w:pPr>
            <w:r w:rsidRPr="00A6768C">
              <w:rPr>
                <w:rFonts w:ascii="Times" w:eastAsia="바탕" w:hAnsi="Times"/>
                <w:color w:val="auto"/>
                <w:szCs w:val="24"/>
                <w:lang w:eastAsia="x-none"/>
              </w:rPr>
              <w:t>If preamble transmissions are dropped due to LBT failure, then</w:t>
            </w:r>
          </w:p>
          <w:p w14:paraId="3A48ACAB" w14:textId="77777777" w:rsidR="00A6768C" w:rsidRPr="00A6768C" w:rsidRDefault="00A6768C" w:rsidP="00A6768C">
            <w:pPr>
              <w:numPr>
                <w:ilvl w:val="0"/>
                <w:numId w:val="33"/>
              </w:numPr>
              <w:spacing w:after="0" w:line="240" w:lineRule="auto"/>
              <w:rPr>
                <w:rFonts w:ascii="Times" w:eastAsia="바탕" w:hAnsi="Times"/>
                <w:color w:val="auto"/>
                <w:szCs w:val="24"/>
                <w:lang w:eastAsia="x-none"/>
              </w:rPr>
            </w:pPr>
            <w:r w:rsidRPr="00A6768C">
              <w:rPr>
                <w:rFonts w:ascii="Times" w:eastAsia="바탕" w:hAnsi="Times"/>
                <w:color w:val="auto"/>
                <w:szCs w:val="24"/>
                <w:lang w:eastAsia="x-none"/>
              </w:rPr>
              <w:t>From a RAN1 perspective, it is recommended that preamble power ramping is not performed and that the preamble transmission counter is not incremented</w:t>
            </w:r>
          </w:p>
          <w:p w14:paraId="1114F0CB" w14:textId="77777777" w:rsidR="00A6768C" w:rsidRPr="00A6768C" w:rsidRDefault="00A6768C" w:rsidP="00A6768C">
            <w:pPr>
              <w:spacing w:after="0" w:line="240" w:lineRule="auto"/>
              <w:ind w:left="720" w:hanging="720"/>
              <w:rPr>
                <w:rFonts w:ascii="Times" w:eastAsia="바탕" w:hAnsi="Times"/>
                <w:color w:val="auto"/>
                <w:szCs w:val="24"/>
                <w:lang w:val="en-GB" w:eastAsia="x-none"/>
              </w:rPr>
            </w:pPr>
          </w:p>
          <w:p w14:paraId="6B6658F6" w14:textId="77777777" w:rsidR="00A6768C" w:rsidRPr="00A6768C" w:rsidRDefault="00A6768C" w:rsidP="00A6768C">
            <w:pPr>
              <w:spacing w:after="0" w:line="240" w:lineRule="auto"/>
              <w:ind w:left="720" w:hanging="720"/>
              <w:rPr>
                <w:rFonts w:ascii="Times" w:eastAsia="바탕" w:hAnsi="Times"/>
                <w:color w:val="auto"/>
                <w:szCs w:val="24"/>
                <w:lang w:val="en-GB" w:eastAsia="x-none"/>
              </w:rPr>
            </w:pPr>
            <w:r w:rsidRPr="00A6768C">
              <w:rPr>
                <w:rFonts w:ascii="Times" w:eastAsia="바탕" w:hAnsi="Times"/>
                <w:color w:val="auto"/>
                <w:szCs w:val="24"/>
                <w:highlight w:val="green"/>
                <w:lang w:val="en-GB" w:eastAsia="x-none"/>
              </w:rPr>
              <w:t>Agreement:</w:t>
            </w:r>
          </w:p>
          <w:p w14:paraId="506FBE91" w14:textId="77777777" w:rsidR="00A6768C" w:rsidRPr="00A6768C" w:rsidRDefault="00A6768C" w:rsidP="00A6768C">
            <w:pPr>
              <w:numPr>
                <w:ilvl w:val="0"/>
                <w:numId w:val="33"/>
              </w:numPr>
              <w:spacing w:after="0" w:line="240" w:lineRule="auto"/>
              <w:rPr>
                <w:rFonts w:ascii="Times" w:eastAsia="바탕" w:hAnsi="Times"/>
                <w:color w:val="auto"/>
                <w:szCs w:val="24"/>
                <w:lang w:val="en-GB" w:eastAsia="x-none"/>
              </w:rPr>
            </w:pPr>
            <w:r w:rsidRPr="00A6768C">
              <w:rPr>
                <w:rFonts w:ascii="Times" w:eastAsia="바탕" w:hAnsi="Times"/>
                <w:color w:val="auto"/>
                <w:szCs w:val="24"/>
                <w:lang w:val="en-GB" w:eastAsia="x-none"/>
              </w:rPr>
              <w:t xml:space="preserve">In some scenarios it is beneficial for the maximum RAR window size to be extended beyond 10 </w:t>
            </w:r>
            <w:proofErr w:type="spellStart"/>
            <w:r w:rsidRPr="00A6768C">
              <w:rPr>
                <w:rFonts w:ascii="Times" w:eastAsia="바탕" w:hAnsi="Times"/>
                <w:color w:val="auto"/>
                <w:szCs w:val="24"/>
                <w:lang w:val="en-GB" w:eastAsia="x-none"/>
              </w:rPr>
              <w:t>ms</w:t>
            </w:r>
            <w:proofErr w:type="spellEnd"/>
            <w:r w:rsidRPr="00A6768C">
              <w:rPr>
                <w:rFonts w:ascii="Times" w:eastAsia="바탕" w:hAnsi="Times"/>
                <w:color w:val="auto"/>
                <w:szCs w:val="24"/>
                <w:lang w:val="en-GB" w:eastAsia="x-none"/>
              </w:rPr>
              <w:t xml:space="preserve"> to increase robustness to DL LBT failure</w:t>
            </w:r>
          </w:p>
          <w:p w14:paraId="69EE9B69" w14:textId="77777777" w:rsidR="00A6768C" w:rsidRPr="00A6768C" w:rsidRDefault="00A6768C" w:rsidP="00A6768C">
            <w:pPr>
              <w:numPr>
                <w:ilvl w:val="1"/>
                <w:numId w:val="33"/>
              </w:numPr>
              <w:spacing w:after="0" w:line="240" w:lineRule="auto"/>
              <w:rPr>
                <w:rFonts w:ascii="Times" w:eastAsia="바탕" w:hAnsi="Times"/>
                <w:color w:val="auto"/>
                <w:szCs w:val="24"/>
                <w:lang w:val="en-GB" w:eastAsia="x-none"/>
              </w:rPr>
            </w:pPr>
            <w:r w:rsidRPr="00A6768C">
              <w:rPr>
                <w:rFonts w:ascii="Times" w:eastAsia="바탕" w:hAnsi="Times"/>
                <w:color w:val="auto"/>
                <w:szCs w:val="24"/>
                <w:lang w:val="en-GB" w:eastAsia="x-none"/>
              </w:rPr>
              <w:t>FFS: Value of maximum RAR window size</w:t>
            </w:r>
          </w:p>
          <w:p w14:paraId="01CD0A14" w14:textId="77777777" w:rsidR="00A6768C" w:rsidRPr="00A6768C" w:rsidRDefault="00A6768C" w:rsidP="00A6768C">
            <w:pPr>
              <w:spacing w:after="0" w:line="240" w:lineRule="auto"/>
              <w:ind w:left="720" w:hanging="720"/>
              <w:rPr>
                <w:rFonts w:ascii="Times" w:eastAsia="바탕" w:hAnsi="Times"/>
                <w:color w:val="auto"/>
                <w:szCs w:val="24"/>
                <w:lang w:val="en-GB" w:eastAsia="x-none"/>
              </w:rPr>
            </w:pPr>
          </w:p>
          <w:p w14:paraId="02ED229E" w14:textId="77777777" w:rsidR="00A6768C" w:rsidRPr="00A6768C" w:rsidRDefault="00A6768C" w:rsidP="00A6768C">
            <w:pPr>
              <w:spacing w:after="0" w:line="240" w:lineRule="auto"/>
              <w:ind w:left="720" w:hanging="720"/>
              <w:rPr>
                <w:rFonts w:ascii="Times" w:eastAsia="바탕" w:hAnsi="Times"/>
                <w:color w:val="auto"/>
                <w:szCs w:val="24"/>
                <w:lang w:val="en-GB" w:eastAsia="x-none"/>
              </w:rPr>
            </w:pPr>
            <w:r w:rsidRPr="00A6768C">
              <w:rPr>
                <w:rFonts w:ascii="Times" w:eastAsia="바탕" w:hAnsi="Times"/>
                <w:color w:val="auto"/>
                <w:szCs w:val="24"/>
                <w:highlight w:val="green"/>
                <w:lang w:val="en-GB" w:eastAsia="x-none"/>
              </w:rPr>
              <w:t>Agreement:</w:t>
            </w:r>
          </w:p>
          <w:p w14:paraId="5E55BFE5" w14:textId="77777777" w:rsidR="00A6768C" w:rsidRPr="00A6768C" w:rsidRDefault="00A6768C" w:rsidP="00A6768C">
            <w:pPr>
              <w:spacing w:after="0" w:line="240" w:lineRule="auto"/>
              <w:ind w:left="720" w:hanging="720"/>
              <w:rPr>
                <w:rFonts w:ascii="Times" w:eastAsia="바탕" w:hAnsi="Times"/>
                <w:color w:val="auto"/>
                <w:szCs w:val="24"/>
                <w:lang w:val="en-GB" w:eastAsia="x-none"/>
              </w:rPr>
            </w:pPr>
            <w:r w:rsidRPr="00A6768C">
              <w:rPr>
                <w:rFonts w:ascii="Times" w:eastAsia="바탕" w:hAnsi="Times"/>
                <w:color w:val="auto"/>
                <w:szCs w:val="24"/>
                <w:lang w:val="en-GB" w:eastAsia="x-none"/>
              </w:rPr>
              <w:t>It is beneficial to support reporting of RSSI</w:t>
            </w:r>
          </w:p>
          <w:p w14:paraId="1AAF8C63" w14:textId="77777777" w:rsidR="00A6768C" w:rsidRPr="00A6768C" w:rsidRDefault="00A6768C" w:rsidP="00A6768C">
            <w:pPr>
              <w:numPr>
                <w:ilvl w:val="0"/>
                <w:numId w:val="34"/>
              </w:numPr>
              <w:spacing w:after="0" w:line="240" w:lineRule="auto"/>
              <w:rPr>
                <w:rFonts w:ascii="Times" w:eastAsia="바탕" w:hAnsi="Times"/>
                <w:color w:val="auto"/>
                <w:szCs w:val="24"/>
                <w:lang w:val="en-GB" w:eastAsia="x-none"/>
              </w:rPr>
            </w:pPr>
            <w:r w:rsidRPr="00A6768C">
              <w:rPr>
                <w:rFonts w:ascii="Times" w:eastAsia="바탕" w:hAnsi="Times"/>
                <w:color w:val="auto"/>
                <w:szCs w:val="24"/>
                <w:lang w:val="en-GB" w:eastAsia="x-none"/>
              </w:rPr>
              <w:t>FFS: The time and frequency resources on which RSSI is measured</w:t>
            </w:r>
          </w:p>
          <w:p w14:paraId="5209F9BF" w14:textId="22C1408E" w:rsidR="004509C2" w:rsidRPr="00A6768C" w:rsidRDefault="004509C2" w:rsidP="004509C2">
            <w:pPr>
              <w:spacing w:after="0" w:line="240" w:lineRule="auto"/>
              <w:rPr>
                <w:rFonts w:ascii="Times" w:eastAsia="바탕" w:hAnsi="Times"/>
                <w:szCs w:val="24"/>
                <w:lang w:val="en-GB" w:eastAsia="x-none"/>
              </w:rPr>
            </w:pPr>
          </w:p>
        </w:tc>
      </w:tr>
    </w:tbl>
    <w:p w14:paraId="09FC2807" w14:textId="77777777" w:rsidR="004509C2" w:rsidRDefault="004509C2" w:rsidP="001C137C">
      <w:pPr>
        <w:overflowPunct w:val="0"/>
        <w:autoSpaceDE w:val="0"/>
        <w:autoSpaceDN w:val="0"/>
        <w:adjustRightInd w:val="0"/>
        <w:spacing w:after="180" w:line="240" w:lineRule="auto"/>
        <w:textAlignment w:val="baseline"/>
        <w:rPr>
          <w:szCs w:val="20"/>
          <w:lang w:eastAsia="zh-CN"/>
        </w:rPr>
      </w:pPr>
    </w:p>
    <w:p w14:paraId="0E60F651" w14:textId="0851C34F" w:rsidR="004B03A0" w:rsidRDefault="00AC43B2" w:rsidP="001C137C">
      <w:pPr>
        <w:overflowPunct w:val="0"/>
        <w:autoSpaceDE w:val="0"/>
        <w:autoSpaceDN w:val="0"/>
        <w:adjustRightInd w:val="0"/>
        <w:spacing w:after="180" w:line="240" w:lineRule="auto"/>
        <w:textAlignment w:val="baseline"/>
        <w:rPr>
          <w:szCs w:val="20"/>
          <w:lang w:eastAsia="zh-CN"/>
        </w:rPr>
      </w:pPr>
      <w:r>
        <w:rPr>
          <w:szCs w:val="20"/>
          <w:lang w:eastAsia="zh-CN"/>
        </w:rPr>
        <w:t xml:space="preserve">In this contribution, we </w:t>
      </w:r>
      <w:r w:rsidR="007167B9">
        <w:rPr>
          <w:szCs w:val="20"/>
          <w:lang w:eastAsia="zh-CN"/>
        </w:rPr>
        <w:t xml:space="preserve">further discuss </w:t>
      </w:r>
      <w:r w:rsidR="00603A46">
        <w:rPr>
          <w:szCs w:val="20"/>
          <w:lang w:eastAsia="zh-CN"/>
        </w:rPr>
        <w:t>SS/PBCH block</w:t>
      </w:r>
      <w:r w:rsidR="00F5721E">
        <w:rPr>
          <w:szCs w:val="20"/>
          <w:lang w:eastAsia="zh-CN"/>
        </w:rPr>
        <w:t>/</w:t>
      </w:r>
      <w:r w:rsidR="00603A46">
        <w:rPr>
          <w:szCs w:val="20"/>
          <w:lang w:eastAsia="zh-CN"/>
        </w:rPr>
        <w:t xml:space="preserve">RMSI transmission and </w:t>
      </w:r>
      <w:r w:rsidR="00A560B5">
        <w:rPr>
          <w:szCs w:val="20"/>
          <w:lang w:eastAsia="zh-CN"/>
        </w:rPr>
        <w:t xml:space="preserve">RACH procedure in </w:t>
      </w:r>
      <w:r w:rsidR="007B22B3">
        <w:rPr>
          <w:szCs w:val="20"/>
          <w:lang w:eastAsia="zh-CN"/>
        </w:rPr>
        <w:t xml:space="preserve">initial access and mobility issue </w:t>
      </w:r>
      <w:r w:rsidR="00624E3A">
        <w:rPr>
          <w:szCs w:val="20"/>
          <w:lang w:eastAsia="zh-CN"/>
        </w:rPr>
        <w:t>and present our view.</w:t>
      </w:r>
    </w:p>
    <w:p w14:paraId="4BA9D9A5" w14:textId="2B4106E9" w:rsidR="00690ED8" w:rsidRDefault="006825B8" w:rsidP="00690ED8">
      <w:pPr>
        <w:pStyle w:val="Tdoc"/>
        <w:ind w:left="0" w:firstLine="0"/>
      </w:pPr>
      <w:r>
        <w:t>SS/PBCH block and RMSI transmission</w:t>
      </w:r>
    </w:p>
    <w:p w14:paraId="2D9763D8" w14:textId="07EDBEDE" w:rsidR="008E3E23" w:rsidRDefault="008E3E23" w:rsidP="006632EC">
      <w:pPr>
        <w:rPr>
          <w:rFonts w:eastAsiaTheme="minorEastAsia"/>
          <w:szCs w:val="20"/>
          <w:lang w:eastAsia="ko-KR"/>
        </w:rPr>
      </w:pPr>
      <w:r w:rsidRPr="008E3E23">
        <w:rPr>
          <w:rFonts w:eastAsiaTheme="minorEastAsia"/>
          <w:szCs w:val="20"/>
          <w:lang w:eastAsia="ko-KR"/>
        </w:rPr>
        <w:t>In NR-U, the transmission of SSBs is subject to the sensing result of Listen-Before-Talk (LBT), such that the UE cannot always expect to receive the SSBs periodically, which results in the performance degradation and complexed receiver implementation on soft combining. Moreover, due to the uncertainty of channel access from LBT, the delay of initial cell search may be enlarged. Hence, enhancement of the channel access of SSB may need further study in NR-U</w:t>
      </w:r>
      <w:r w:rsidR="00814712">
        <w:rPr>
          <w:rFonts w:eastAsiaTheme="minorEastAsia"/>
          <w:szCs w:val="20"/>
          <w:lang w:eastAsia="ko-KR"/>
        </w:rPr>
        <w:t xml:space="preserve"> as seen </w:t>
      </w:r>
      <w:r w:rsidR="009F68F6">
        <w:rPr>
          <w:rFonts w:eastAsiaTheme="minorEastAsia"/>
          <w:szCs w:val="20"/>
          <w:lang w:eastAsia="ko-KR"/>
        </w:rPr>
        <w:t>in agreements above</w:t>
      </w:r>
      <w:r w:rsidRPr="008E3E23">
        <w:rPr>
          <w:rFonts w:eastAsiaTheme="minorEastAsia"/>
          <w:szCs w:val="20"/>
          <w:lang w:eastAsia="ko-KR"/>
        </w:rPr>
        <w:t xml:space="preserve">. The potential enhancements of SSB transmission for NR-U </w:t>
      </w:r>
      <w:r w:rsidR="00183FED">
        <w:rPr>
          <w:rFonts w:eastAsiaTheme="minorEastAsia"/>
          <w:szCs w:val="20"/>
          <w:lang w:eastAsia="ko-KR"/>
        </w:rPr>
        <w:t>can</w:t>
      </w:r>
      <w:r w:rsidRPr="008E3E23">
        <w:rPr>
          <w:rFonts w:eastAsiaTheme="minorEastAsia"/>
          <w:szCs w:val="20"/>
          <w:lang w:eastAsia="ko-KR"/>
        </w:rPr>
        <w:t xml:space="preserve"> be enlarged candidate SSB positions within a </w:t>
      </w:r>
      <w:r w:rsidR="00183FED">
        <w:rPr>
          <w:rFonts w:eastAsiaTheme="minorEastAsia"/>
          <w:szCs w:val="20"/>
          <w:lang w:eastAsia="ko-KR"/>
        </w:rPr>
        <w:t xml:space="preserve">single </w:t>
      </w:r>
      <w:r w:rsidRPr="008E3E23">
        <w:rPr>
          <w:rFonts w:eastAsiaTheme="minorEastAsia"/>
          <w:szCs w:val="20"/>
          <w:lang w:eastAsia="ko-KR"/>
        </w:rPr>
        <w:t xml:space="preserve">SSB </w:t>
      </w:r>
      <w:r w:rsidR="00183FED">
        <w:rPr>
          <w:rFonts w:eastAsiaTheme="minorEastAsia"/>
          <w:szCs w:val="20"/>
          <w:lang w:eastAsia="ko-KR"/>
        </w:rPr>
        <w:t>burst set</w:t>
      </w:r>
      <w:r w:rsidRPr="008E3E23">
        <w:rPr>
          <w:rFonts w:eastAsiaTheme="minorEastAsia"/>
          <w:szCs w:val="20"/>
          <w:lang w:eastAsia="ko-KR"/>
        </w:rPr>
        <w:t xml:space="preserve"> window (e.g. 5ms)</w:t>
      </w:r>
      <w:r w:rsidR="008523F7">
        <w:rPr>
          <w:rFonts w:eastAsiaTheme="minorEastAsia"/>
          <w:szCs w:val="20"/>
          <w:lang w:eastAsia="ko-KR"/>
        </w:rPr>
        <w:t xml:space="preserve">. In this regard, </w:t>
      </w:r>
      <w:r w:rsidR="0079416C">
        <w:rPr>
          <w:rFonts w:eastAsiaTheme="minorEastAsia"/>
          <w:szCs w:val="20"/>
          <w:lang w:eastAsia="ko-KR"/>
        </w:rPr>
        <w:t xml:space="preserve">one way is to </w:t>
      </w:r>
      <w:r w:rsidR="00083312">
        <w:rPr>
          <w:rFonts w:eastAsiaTheme="minorEastAsia"/>
          <w:szCs w:val="20"/>
          <w:lang w:eastAsia="ko-KR"/>
        </w:rPr>
        <w:t>use</w:t>
      </w:r>
      <w:r w:rsidR="0079416C">
        <w:rPr>
          <w:rFonts w:eastAsiaTheme="minorEastAsia"/>
          <w:szCs w:val="20"/>
          <w:lang w:eastAsia="ko-KR"/>
        </w:rPr>
        <w:t xml:space="preserve"> </w:t>
      </w:r>
      <w:r w:rsidR="00EC105A">
        <w:rPr>
          <w:rFonts w:eastAsiaTheme="minorEastAsia"/>
          <w:szCs w:val="20"/>
          <w:lang w:eastAsia="ko-KR"/>
        </w:rPr>
        <w:t xml:space="preserve">cyclic </w:t>
      </w:r>
      <w:r w:rsidR="003121E6">
        <w:rPr>
          <w:rFonts w:eastAsiaTheme="minorEastAsia"/>
          <w:szCs w:val="20"/>
          <w:lang w:eastAsia="ko-KR"/>
        </w:rPr>
        <w:t>shifted SSB</w:t>
      </w:r>
      <w:r w:rsidRPr="008E3E23">
        <w:rPr>
          <w:rFonts w:eastAsiaTheme="minorEastAsia"/>
          <w:szCs w:val="20"/>
          <w:lang w:eastAsia="ko-KR"/>
        </w:rPr>
        <w:t xml:space="preserve"> </w:t>
      </w:r>
      <w:r w:rsidR="00E446B1">
        <w:rPr>
          <w:rFonts w:eastAsiaTheme="minorEastAsia"/>
          <w:szCs w:val="20"/>
          <w:lang w:eastAsia="ko-KR"/>
        </w:rPr>
        <w:t>transmission within a single SSB burst set window</w:t>
      </w:r>
      <w:r w:rsidR="00BF1F96">
        <w:rPr>
          <w:rFonts w:eastAsiaTheme="minorEastAsia"/>
          <w:szCs w:val="20"/>
          <w:lang w:eastAsia="ko-KR"/>
        </w:rPr>
        <w:t xml:space="preserve">. The other way is to </w:t>
      </w:r>
      <w:r w:rsidR="002D519E">
        <w:rPr>
          <w:rFonts w:eastAsiaTheme="minorEastAsia"/>
          <w:szCs w:val="20"/>
          <w:lang w:eastAsia="ko-KR"/>
        </w:rPr>
        <w:t>introduce additional SSB candidate positions within a single SSB burst set window.</w:t>
      </w:r>
      <w:r w:rsidR="00900E36">
        <w:rPr>
          <w:rFonts w:eastAsiaTheme="minorEastAsia"/>
          <w:szCs w:val="20"/>
          <w:lang w:eastAsia="ko-KR"/>
        </w:rPr>
        <w:t xml:space="preserve"> Both ways would result in </w:t>
      </w:r>
      <w:r w:rsidR="00CF7705">
        <w:rPr>
          <w:rFonts w:eastAsiaTheme="minorEastAsia"/>
          <w:szCs w:val="20"/>
          <w:lang w:eastAsia="ko-KR"/>
        </w:rPr>
        <w:t xml:space="preserve">increase of SSB burst set window length. </w:t>
      </w:r>
    </w:p>
    <w:p w14:paraId="6C32EAAF" w14:textId="3E1D8BE7" w:rsidR="0047229C" w:rsidRDefault="0047229C" w:rsidP="0047229C">
      <w:pPr>
        <w:ind w:left="1170" w:hanging="1170"/>
        <w:rPr>
          <w:rFonts w:eastAsia="Times New Roman"/>
          <w:bCs/>
          <w:i/>
          <w:szCs w:val="20"/>
          <w:lang w:val="en-GB"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sidR="008943D7">
        <w:rPr>
          <w:rFonts w:eastAsia="Times New Roman"/>
          <w:bCs/>
          <w:i/>
          <w:szCs w:val="20"/>
          <w:lang w:val="en-GB" w:eastAsia="zh-CN"/>
        </w:rPr>
        <w:t xml:space="preserve">Cyclic shifted SSB transmission or </w:t>
      </w:r>
      <w:r w:rsidR="00001B3C">
        <w:rPr>
          <w:rFonts w:eastAsia="Times New Roman"/>
          <w:bCs/>
          <w:i/>
          <w:szCs w:val="20"/>
          <w:lang w:val="en-GB" w:eastAsia="zh-CN"/>
        </w:rPr>
        <w:t xml:space="preserve">additional SSB candidate position can be </w:t>
      </w:r>
      <w:r w:rsidR="00D41D73">
        <w:rPr>
          <w:rFonts w:eastAsia="Times New Roman"/>
          <w:bCs/>
          <w:i/>
          <w:szCs w:val="20"/>
          <w:lang w:val="en-GB" w:eastAsia="zh-CN"/>
        </w:rPr>
        <w:t>considered to handle reduced SSB</w:t>
      </w:r>
      <w:r w:rsidR="004D3514">
        <w:rPr>
          <w:rFonts w:eastAsia="Times New Roman"/>
          <w:bCs/>
          <w:i/>
          <w:szCs w:val="20"/>
          <w:lang w:val="en-GB" w:eastAsia="zh-CN"/>
        </w:rPr>
        <w:t xml:space="preserve"> transmission opportunities due to LBT failure.</w:t>
      </w:r>
    </w:p>
    <w:p w14:paraId="16609711" w14:textId="5B0FAFDF" w:rsidR="00033875" w:rsidRDefault="00033875" w:rsidP="006F0F83">
      <w:pPr>
        <w:rPr>
          <w:rFonts w:eastAsiaTheme="minorEastAsia"/>
          <w:szCs w:val="20"/>
          <w:lang w:val="x-none" w:eastAsia="ko-KR"/>
        </w:rPr>
      </w:pPr>
    </w:p>
    <w:p w14:paraId="03DADCE0" w14:textId="6107D490" w:rsidR="009F0C13" w:rsidRDefault="008B1AB5" w:rsidP="006F0F83">
      <w:pPr>
        <w:rPr>
          <w:rFonts w:eastAsiaTheme="minorEastAsia"/>
          <w:szCs w:val="20"/>
          <w:lang w:val="x-none" w:eastAsia="ko-KR"/>
        </w:rPr>
      </w:pPr>
      <w:r>
        <w:rPr>
          <w:rFonts w:eastAsiaTheme="minorEastAsia"/>
          <w:szCs w:val="20"/>
          <w:lang w:val="x-none" w:eastAsia="ko-KR"/>
        </w:rPr>
        <w:t>If</w:t>
      </w:r>
      <w:r w:rsidR="00116352">
        <w:rPr>
          <w:rFonts w:eastAsiaTheme="minorEastAsia"/>
          <w:szCs w:val="20"/>
          <w:lang w:val="x-none" w:eastAsia="ko-KR"/>
        </w:rPr>
        <w:t xml:space="preserve"> DL SSB enhancement or modification for NR-U is introduce</w:t>
      </w:r>
      <w:r>
        <w:rPr>
          <w:rFonts w:eastAsiaTheme="minorEastAsia"/>
          <w:szCs w:val="20"/>
          <w:lang w:val="x-none" w:eastAsia="ko-KR"/>
        </w:rPr>
        <w:t>d, 5ms DL SSB burst set window</w:t>
      </w:r>
      <w:r w:rsidR="00E4154D">
        <w:rPr>
          <w:rFonts w:eastAsiaTheme="minorEastAsia"/>
          <w:szCs w:val="20"/>
          <w:lang w:val="x-none" w:eastAsia="ko-KR"/>
        </w:rPr>
        <w:t xml:space="preserve"> defined in Rel-15 NR</w:t>
      </w:r>
      <w:r>
        <w:rPr>
          <w:rFonts w:eastAsiaTheme="minorEastAsia"/>
          <w:szCs w:val="20"/>
          <w:lang w:val="x-none" w:eastAsia="ko-KR"/>
        </w:rPr>
        <w:t xml:space="preserve"> may not be maintained in NR-U</w:t>
      </w:r>
      <w:r w:rsidR="00211261">
        <w:rPr>
          <w:rFonts w:eastAsiaTheme="minorEastAsia"/>
          <w:szCs w:val="20"/>
          <w:lang w:val="x-none" w:eastAsia="ko-KR"/>
        </w:rPr>
        <w:t xml:space="preserve"> due to the extended DL SSB </w:t>
      </w:r>
      <w:r w:rsidR="001A3616">
        <w:rPr>
          <w:rFonts w:eastAsiaTheme="minorEastAsia"/>
          <w:szCs w:val="20"/>
          <w:lang w:val="x-none" w:eastAsia="ko-KR"/>
        </w:rPr>
        <w:t>transmission candidates particularly for 120 and 240 kHz SCS</w:t>
      </w:r>
      <w:r w:rsidR="00FB436A">
        <w:rPr>
          <w:rFonts w:eastAsiaTheme="minorEastAsia"/>
          <w:szCs w:val="20"/>
          <w:lang w:val="x-none" w:eastAsia="ko-KR"/>
        </w:rPr>
        <w:t xml:space="preserve"> which have no room to position the additional DL SSB candidate positions within 5ms.</w:t>
      </w:r>
      <w:r w:rsidR="00230CA7">
        <w:rPr>
          <w:rFonts w:eastAsiaTheme="minorEastAsia"/>
          <w:szCs w:val="20"/>
          <w:lang w:val="x-none" w:eastAsia="ko-KR"/>
        </w:rPr>
        <w:t xml:space="preserve"> Therefore, we need to discuss whether </w:t>
      </w:r>
      <w:bookmarkStart w:id="1" w:name="_Hlk525919110"/>
      <w:r w:rsidR="00D273AC">
        <w:rPr>
          <w:rFonts w:eastAsiaTheme="minorEastAsia"/>
          <w:szCs w:val="20"/>
          <w:lang w:val="x-none" w:eastAsia="ko-KR"/>
        </w:rPr>
        <w:t>5ms DL SSB burst set window should be increased</w:t>
      </w:r>
      <w:bookmarkEnd w:id="1"/>
      <w:r w:rsidR="00D273AC">
        <w:rPr>
          <w:rFonts w:eastAsiaTheme="minorEastAsia"/>
          <w:szCs w:val="20"/>
          <w:lang w:val="x-none" w:eastAsia="ko-KR"/>
        </w:rPr>
        <w:t xml:space="preserve"> e.g. 10ms, that may </w:t>
      </w:r>
      <w:r w:rsidR="00F43D48">
        <w:rPr>
          <w:rFonts w:eastAsiaTheme="minorEastAsia"/>
          <w:szCs w:val="20"/>
          <w:lang w:val="x-none" w:eastAsia="ko-KR"/>
        </w:rPr>
        <w:t xml:space="preserve">result in additional </w:t>
      </w:r>
      <w:r w:rsidR="00F96025">
        <w:rPr>
          <w:rFonts w:eastAsiaTheme="minorEastAsia"/>
          <w:szCs w:val="20"/>
          <w:lang w:val="x-none" w:eastAsia="ko-KR"/>
        </w:rPr>
        <w:t>standardization issues such as measurement window, handover and so on.</w:t>
      </w:r>
    </w:p>
    <w:p w14:paraId="1A338C90" w14:textId="66E366C4" w:rsidR="0096297D" w:rsidRDefault="0096297D" w:rsidP="0096297D">
      <w:pPr>
        <w:ind w:left="1170" w:hanging="1170"/>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sidR="0008222C">
        <w:rPr>
          <w:rFonts w:eastAsia="Times New Roman"/>
          <w:bCs/>
          <w:i/>
          <w:szCs w:val="20"/>
          <w:lang w:val="en-GB" w:eastAsia="zh-CN"/>
        </w:rPr>
        <w:t xml:space="preserve">It is proposed to discuss whether </w:t>
      </w:r>
      <w:r w:rsidR="0008222C" w:rsidRPr="0008222C">
        <w:rPr>
          <w:rFonts w:eastAsia="Times New Roman"/>
          <w:bCs/>
          <w:i/>
          <w:szCs w:val="20"/>
          <w:lang w:val="en-GB" w:eastAsia="zh-CN"/>
        </w:rPr>
        <w:t>5ms DL SSB burst set window should be increased</w:t>
      </w:r>
      <w:r w:rsidR="006B3448">
        <w:rPr>
          <w:rFonts w:eastAsia="Times New Roman"/>
          <w:bCs/>
          <w:i/>
          <w:szCs w:val="20"/>
          <w:lang w:val="en-GB" w:eastAsia="zh-CN"/>
        </w:rPr>
        <w:t xml:space="preserve"> due to potential modification of DL SSB burst set composition.</w:t>
      </w:r>
    </w:p>
    <w:p w14:paraId="175961F5" w14:textId="77777777" w:rsidR="009F0C13" w:rsidRPr="0096297D" w:rsidRDefault="009F0C13" w:rsidP="006F0F83">
      <w:pPr>
        <w:rPr>
          <w:rFonts w:eastAsiaTheme="minorEastAsia"/>
          <w:szCs w:val="20"/>
          <w:lang w:val="en-GB" w:eastAsia="ko-KR"/>
        </w:rPr>
      </w:pPr>
    </w:p>
    <w:p w14:paraId="7F4795EE" w14:textId="3BADD211" w:rsidR="006F0F83" w:rsidRPr="006F0F83" w:rsidRDefault="006F0F83" w:rsidP="006F0F83">
      <w:pPr>
        <w:rPr>
          <w:rFonts w:eastAsiaTheme="minorEastAsia"/>
          <w:szCs w:val="20"/>
          <w:lang w:val="x-none" w:eastAsia="ko-KR"/>
        </w:rPr>
      </w:pPr>
      <w:r w:rsidRPr="006F0F83">
        <w:rPr>
          <w:rFonts w:eastAsiaTheme="minorEastAsia"/>
          <w:szCs w:val="20"/>
          <w:lang w:val="x-none" w:eastAsia="ko-KR"/>
        </w:rPr>
        <w:t xml:space="preserve">In addition, due to the COT (Channel Occupancy Time) less than 1ms like LAA DRS, short LBT such as 25us LBT can be firstly considered for SSB transmission only. It is beneficial to apply the channel access procedure with higher priority for SSB transmission only, in order to guarantee </w:t>
      </w:r>
      <w:r w:rsidR="005D0857">
        <w:rPr>
          <w:rFonts w:eastAsiaTheme="minorEastAsia"/>
          <w:szCs w:val="20"/>
          <w:lang w:val="x-none" w:eastAsia="ko-KR"/>
        </w:rPr>
        <w:t xml:space="preserve">successful </w:t>
      </w:r>
      <w:r w:rsidRPr="006F0F83">
        <w:rPr>
          <w:rFonts w:eastAsiaTheme="minorEastAsia"/>
          <w:szCs w:val="20"/>
          <w:lang w:val="x-none" w:eastAsia="ko-KR"/>
        </w:rPr>
        <w:t>periodic SSB</w:t>
      </w:r>
      <w:r w:rsidR="005D0857">
        <w:rPr>
          <w:rFonts w:eastAsiaTheme="minorEastAsia"/>
          <w:szCs w:val="20"/>
          <w:lang w:val="x-none" w:eastAsia="ko-KR"/>
        </w:rPr>
        <w:t xml:space="preserve"> </w:t>
      </w:r>
      <w:r w:rsidRPr="006F0F83">
        <w:rPr>
          <w:rFonts w:eastAsiaTheme="minorEastAsia"/>
          <w:szCs w:val="20"/>
          <w:lang w:val="x-none" w:eastAsia="ko-KR"/>
        </w:rPr>
        <w:t xml:space="preserve">transmissions as much as possible. In this case, depending on SSB’s SCS, there can be more than two consecutive candidate SSBs within </w:t>
      </w:r>
      <w:r w:rsidR="00B04E33">
        <w:rPr>
          <w:rFonts w:eastAsiaTheme="minorEastAsia"/>
          <w:szCs w:val="20"/>
          <w:lang w:val="x-none" w:eastAsia="ko-KR"/>
        </w:rPr>
        <w:t xml:space="preserve">a </w:t>
      </w:r>
      <w:r w:rsidRPr="006F0F83">
        <w:rPr>
          <w:rFonts w:eastAsiaTheme="minorEastAsia"/>
          <w:szCs w:val="20"/>
          <w:lang w:val="x-none" w:eastAsia="ko-KR"/>
        </w:rPr>
        <w:t xml:space="preserve">COT via short LBT. Such consecutive candidate SSBs can be considered as a SSB group, once a LBT is succeed. This unit (i.e. SSB group) may be used for various NR-U operation such as RRM, RLM, BFR, RACH, etc. Moreover, it also needs to be considered whether short LBT can be applied for multiplexing PDSCH/PDCCH (especially for higher SCS) and SSB transmission. </w:t>
      </w:r>
    </w:p>
    <w:p w14:paraId="171456B9" w14:textId="21C170C6" w:rsidR="00BF28E0" w:rsidRDefault="00BF28E0" w:rsidP="00BF28E0">
      <w:pPr>
        <w:ind w:left="1170" w:hanging="1170"/>
        <w:rPr>
          <w:rFonts w:eastAsia="Times New Roman"/>
          <w:bCs/>
          <w:i/>
          <w:szCs w:val="20"/>
          <w:lang w:val="en-GB" w:eastAsia="zh-CN"/>
        </w:rPr>
      </w:pPr>
      <w:r>
        <w:rPr>
          <w:rFonts w:eastAsia="Times New Roman"/>
          <w:b/>
          <w:bCs/>
          <w:szCs w:val="20"/>
          <w:u w:val="single"/>
          <w:lang w:val="en-GB" w:eastAsia="zh-CN"/>
        </w:rPr>
        <w:t xml:space="preserve">Proposal </w:t>
      </w:r>
      <w:r w:rsidR="0096297D">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sidR="00751522" w:rsidRPr="00751522">
        <w:rPr>
          <w:rFonts w:eastAsia="Times New Roman"/>
          <w:bCs/>
          <w:i/>
          <w:szCs w:val="20"/>
          <w:lang w:val="en-GB" w:eastAsia="zh-CN"/>
        </w:rPr>
        <w:t>25us LBT</w:t>
      </w:r>
      <w:r w:rsidR="00751522">
        <w:rPr>
          <w:rFonts w:eastAsia="Times New Roman"/>
          <w:bCs/>
          <w:i/>
          <w:szCs w:val="20"/>
          <w:lang w:val="en-GB" w:eastAsia="zh-CN"/>
        </w:rPr>
        <w:t xml:space="preserve"> should be at least considered for SSB transmission o</w:t>
      </w:r>
      <w:r w:rsidR="002745A5">
        <w:rPr>
          <w:rFonts w:eastAsia="Times New Roman"/>
          <w:bCs/>
          <w:i/>
          <w:szCs w:val="20"/>
          <w:lang w:val="en-GB" w:eastAsia="zh-CN"/>
        </w:rPr>
        <w:t>nly</w:t>
      </w:r>
      <w:r w:rsidR="00C5748F">
        <w:rPr>
          <w:rFonts w:eastAsia="Times New Roman"/>
          <w:bCs/>
          <w:i/>
          <w:szCs w:val="20"/>
          <w:lang w:val="en-GB" w:eastAsia="zh-CN"/>
        </w:rPr>
        <w:t xml:space="preserve"> with </w:t>
      </w:r>
      <w:r w:rsidR="002C4CAB">
        <w:rPr>
          <w:rFonts w:eastAsia="Times New Roman"/>
          <w:bCs/>
          <w:i/>
          <w:szCs w:val="20"/>
          <w:lang w:val="en-GB" w:eastAsia="zh-CN"/>
        </w:rPr>
        <w:t>about 1ms COT</w:t>
      </w:r>
      <w:r w:rsidR="00AF2EB8">
        <w:rPr>
          <w:rFonts w:eastAsia="Times New Roman"/>
          <w:bCs/>
          <w:i/>
          <w:szCs w:val="20"/>
          <w:lang w:val="en-GB" w:eastAsia="zh-CN"/>
        </w:rPr>
        <w:t>.</w:t>
      </w:r>
    </w:p>
    <w:p w14:paraId="284DAA31" w14:textId="77777777" w:rsidR="006F0F83" w:rsidRPr="00BF28E0" w:rsidRDefault="006F0F83" w:rsidP="006F0F83">
      <w:pPr>
        <w:rPr>
          <w:rFonts w:eastAsiaTheme="minorEastAsia"/>
          <w:szCs w:val="20"/>
          <w:lang w:val="en-GB" w:eastAsia="ko-KR"/>
        </w:rPr>
      </w:pPr>
    </w:p>
    <w:p w14:paraId="6BA1F1FA" w14:textId="5A70FBB0" w:rsidR="008E3E23" w:rsidRDefault="006F0F83" w:rsidP="006F0F83">
      <w:pPr>
        <w:rPr>
          <w:rFonts w:eastAsiaTheme="minorEastAsia"/>
          <w:szCs w:val="20"/>
          <w:lang w:val="x-none" w:eastAsia="ko-KR"/>
        </w:rPr>
      </w:pPr>
      <w:r w:rsidRPr="006F0F83">
        <w:rPr>
          <w:rFonts w:eastAsiaTheme="minorEastAsia"/>
          <w:szCs w:val="20"/>
          <w:lang w:val="x-none" w:eastAsia="ko-KR"/>
        </w:rPr>
        <w:t xml:space="preserve">During Rel-15 NR WI phase, three patterns to multiplex SSB and RMSI transmissions have been introduced for both FR1 and FR2 as shown in </w:t>
      </w:r>
      <w:r w:rsidR="005F0753">
        <w:rPr>
          <w:rFonts w:eastAsiaTheme="minorEastAsia"/>
          <w:szCs w:val="20"/>
          <w:lang w:val="x-none" w:eastAsia="ko-KR"/>
        </w:rPr>
        <w:fldChar w:fldCharType="begin"/>
      </w:r>
      <w:r w:rsidR="005F0753">
        <w:rPr>
          <w:rFonts w:eastAsiaTheme="minorEastAsia"/>
          <w:szCs w:val="20"/>
          <w:lang w:val="x-none" w:eastAsia="ko-KR"/>
        </w:rPr>
        <w:instrText xml:space="preserve"> REF _Ref521713226 \h </w:instrText>
      </w:r>
      <w:r w:rsidR="005F0753">
        <w:rPr>
          <w:rFonts w:eastAsiaTheme="minorEastAsia"/>
          <w:szCs w:val="20"/>
          <w:lang w:val="x-none" w:eastAsia="ko-KR"/>
        </w:rPr>
      </w:r>
      <w:r w:rsidR="005F0753">
        <w:rPr>
          <w:rFonts w:eastAsiaTheme="minorEastAsia"/>
          <w:szCs w:val="20"/>
          <w:lang w:val="x-none" w:eastAsia="ko-KR"/>
        </w:rPr>
        <w:fldChar w:fldCharType="separate"/>
      </w:r>
      <w:r w:rsidR="005F0753">
        <w:t xml:space="preserve">Figure </w:t>
      </w:r>
      <w:r w:rsidR="005F0753">
        <w:rPr>
          <w:noProof/>
        </w:rPr>
        <w:t>1</w:t>
      </w:r>
      <w:r w:rsidR="005F0753">
        <w:rPr>
          <w:rFonts w:eastAsiaTheme="minorEastAsia"/>
          <w:szCs w:val="20"/>
          <w:lang w:val="x-none" w:eastAsia="ko-KR"/>
        </w:rPr>
        <w:fldChar w:fldCharType="end"/>
      </w:r>
      <w:r w:rsidRPr="006F0F83">
        <w:rPr>
          <w:rFonts w:eastAsiaTheme="minorEastAsia"/>
          <w:szCs w:val="20"/>
          <w:lang w:val="x-none" w:eastAsia="ko-KR"/>
        </w:rPr>
        <w:t>. For NR-U, how to multiplex SSB and RMSI should be discussed since there are the requirements on the occupied channel bandwidth (OCB) and some needs of efficient beam sweeping for the multiplexing of SSB and RMSI. In order to meet the OCB regulation, the multiplexing pattern 2/3 of SSB and RMSI in the frequency dimension can be firstly considered. However, the practical limitation and UE capability requirement should be discussed when this pattern is employed.</w:t>
      </w:r>
    </w:p>
    <w:p w14:paraId="3D6FAFBA" w14:textId="00B537A9" w:rsidR="008D7CAD" w:rsidRDefault="008D7CAD" w:rsidP="006F0F83">
      <w:pPr>
        <w:rPr>
          <w:rFonts w:eastAsiaTheme="minorEastAsia"/>
          <w:szCs w:val="20"/>
          <w:lang w:val="x-none" w:eastAsia="ko-KR"/>
        </w:rPr>
      </w:pPr>
    </w:p>
    <w:p w14:paraId="5DB43024" w14:textId="77777777" w:rsidR="00A170EB" w:rsidRDefault="008D7CAD" w:rsidP="00A170EB">
      <w:pPr>
        <w:keepNext/>
        <w:jc w:val="center"/>
      </w:pPr>
      <w:r>
        <w:rPr>
          <w:rFonts w:ascii="Arial" w:eastAsia="바탕" w:hAnsi="Arial" w:cs="Arial"/>
          <w:noProof/>
          <w:lang w:eastAsia="ko-KR"/>
        </w:rPr>
        <w:drawing>
          <wp:inline distT="0" distB="0" distL="0" distR="0" wp14:anchorId="7ABD7C99" wp14:editId="1F0E74C7">
            <wp:extent cx="5120640" cy="23856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0640" cy="2385695"/>
                    </a:xfrm>
                    <a:prstGeom prst="rect">
                      <a:avLst/>
                    </a:prstGeom>
                    <a:noFill/>
                    <a:ln>
                      <a:noFill/>
                    </a:ln>
                  </pic:spPr>
                </pic:pic>
              </a:graphicData>
            </a:graphic>
          </wp:inline>
        </w:drawing>
      </w:r>
    </w:p>
    <w:p w14:paraId="4324EDA4" w14:textId="5E096130" w:rsidR="008D7CAD" w:rsidRPr="006F0F83" w:rsidRDefault="00A170EB" w:rsidP="00A170EB">
      <w:pPr>
        <w:pStyle w:val="af1"/>
        <w:jc w:val="center"/>
        <w:rPr>
          <w:rFonts w:eastAsiaTheme="minorEastAsia"/>
          <w:szCs w:val="20"/>
          <w:lang w:val="x-none" w:eastAsia="ko-KR"/>
        </w:rPr>
      </w:pPr>
      <w:bookmarkStart w:id="2" w:name="_Ref521713226"/>
      <w:r>
        <w:t xml:space="preserve">Figure </w:t>
      </w:r>
      <w:r w:rsidR="005036E2">
        <w:rPr>
          <w:noProof/>
        </w:rPr>
        <w:fldChar w:fldCharType="begin"/>
      </w:r>
      <w:r w:rsidR="005036E2">
        <w:rPr>
          <w:noProof/>
        </w:rPr>
        <w:instrText xml:space="preserve"> SEQ Figure \* ARABIC </w:instrText>
      </w:r>
      <w:r w:rsidR="005036E2">
        <w:rPr>
          <w:noProof/>
        </w:rPr>
        <w:fldChar w:fldCharType="separate"/>
      </w:r>
      <w:r>
        <w:rPr>
          <w:noProof/>
        </w:rPr>
        <w:t>1</w:t>
      </w:r>
      <w:r w:rsidR="005036E2">
        <w:rPr>
          <w:noProof/>
        </w:rPr>
        <w:fldChar w:fldCharType="end"/>
      </w:r>
      <w:bookmarkEnd w:id="2"/>
      <w:r>
        <w:t xml:space="preserve">. </w:t>
      </w:r>
      <w:r w:rsidR="0062121E" w:rsidRPr="0062121E">
        <w:t>Multiplexing patterns of SSB and RMSI transmission</w:t>
      </w:r>
    </w:p>
    <w:p w14:paraId="1652EDBE" w14:textId="334CB545" w:rsidR="0057126A" w:rsidRDefault="0057126A" w:rsidP="006632EC">
      <w:pPr>
        <w:rPr>
          <w:rFonts w:eastAsiaTheme="minorEastAsia"/>
          <w:szCs w:val="20"/>
          <w:lang w:eastAsia="ko-KR"/>
        </w:rPr>
      </w:pPr>
    </w:p>
    <w:p w14:paraId="06420A20" w14:textId="77777777" w:rsidR="00384D50" w:rsidRPr="00384D50" w:rsidRDefault="00384D50" w:rsidP="00384D50">
      <w:pPr>
        <w:rPr>
          <w:rFonts w:eastAsiaTheme="minorEastAsia"/>
          <w:szCs w:val="20"/>
          <w:lang w:eastAsia="ko-KR"/>
        </w:rPr>
      </w:pPr>
      <w:r w:rsidRPr="00384D50">
        <w:rPr>
          <w:rFonts w:eastAsiaTheme="minorEastAsia"/>
          <w:szCs w:val="20"/>
          <w:lang w:eastAsia="ko-KR"/>
        </w:rPr>
        <w:t xml:space="preserve">Due to the channel access uncertainty caused by LBT, the periodic/deterministic transmissions of SSB/RMSI cannot be guaranteed. Therefore, 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should be carefully addressed.   </w:t>
      </w:r>
    </w:p>
    <w:p w14:paraId="168017EB" w14:textId="2AD1D54D" w:rsidR="004B03A0" w:rsidRDefault="0084445E" w:rsidP="00114493">
      <w:pPr>
        <w:ind w:left="1170" w:hanging="1170"/>
        <w:rPr>
          <w:rFonts w:eastAsia="Times New Roman"/>
          <w:bCs/>
          <w:i/>
          <w:szCs w:val="20"/>
          <w:lang w:val="en-GB" w:eastAsia="zh-CN"/>
        </w:rPr>
      </w:pPr>
      <w:r>
        <w:rPr>
          <w:rFonts w:eastAsia="Times New Roman"/>
          <w:b/>
          <w:bCs/>
          <w:szCs w:val="20"/>
          <w:u w:val="single"/>
          <w:lang w:val="en-GB" w:eastAsia="zh-CN"/>
        </w:rPr>
        <w:lastRenderedPageBreak/>
        <w:t>Proposal</w:t>
      </w:r>
      <w:r w:rsidR="006274B6">
        <w:rPr>
          <w:rFonts w:eastAsia="Times New Roman"/>
          <w:b/>
          <w:bCs/>
          <w:szCs w:val="20"/>
          <w:u w:val="single"/>
          <w:lang w:val="en-GB" w:eastAsia="zh-CN"/>
        </w:rPr>
        <w:t xml:space="preserve"> </w:t>
      </w:r>
      <w:r w:rsidR="00AE0343">
        <w:rPr>
          <w:rFonts w:eastAsia="Times New Roman"/>
          <w:b/>
          <w:bCs/>
          <w:szCs w:val="20"/>
          <w:u w:val="single"/>
          <w:lang w:val="en-GB" w:eastAsia="zh-CN"/>
        </w:rPr>
        <w:t>4</w:t>
      </w:r>
      <w:r w:rsidR="00114493" w:rsidRPr="001C137C">
        <w:rPr>
          <w:rFonts w:eastAsia="Times New Roman"/>
          <w:b/>
          <w:bCs/>
          <w:szCs w:val="20"/>
          <w:u w:val="single"/>
          <w:lang w:val="en-GB" w:eastAsia="zh-CN"/>
        </w:rPr>
        <w:t>:</w:t>
      </w:r>
      <w:r w:rsidR="00114493" w:rsidRPr="001C137C">
        <w:rPr>
          <w:rFonts w:eastAsia="Times New Roman"/>
          <w:b/>
          <w:bCs/>
          <w:szCs w:val="20"/>
          <w:lang w:val="en-GB" w:eastAsia="zh-CN"/>
        </w:rPr>
        <w:tab/>
      </w:r>
      <w:r w:rsidR="005B6FA4" w:rsidRPr="005B6FA4">
        <w:rPr>
          <w:rFonts w:eastAsia="Times New Roman"/>
          <w:bCs/>
          <w:i/>
          <w:szCs w:val="20"/>
          <w:lang w:val="en-GB" w:eastAsia="zh-CN"/>
        </w:rPr>
        <w:t>Evaluate enlarged opportunistic transmission of SSB and RMSI in NR unlicensed bands taking OCB and LBT regulations into accounts</w:t>
      </w:r>
      <w:r w:rsidR="005B6FA4">
        <w:rPr>
          <w:rFonts w:eastAsia="Times New Roman"/>
          <w:bCs/>
          <w:i/>
          <w:szCs w:val="20"/>
          <w:lang w:val="en-GB" w:eastAsia="zh-CN"/>
        </w:rPr>
        <w:t>.</w:t>
      </w:r>
    </w:p>
    <w:p w14:paraId="548E0943" w14:textId="77777777" w:rsidR="005B6FA4" w:rsidRPr="005B6FA4" w:rsidRDefault="005B6FA4" w:rsidP="00114493">
      <w:pPr>
        <w:ind w:left="1170" w:hanging="1170"/>
        <w:rPr>
          <w:bCs/>
          <w:i/>
          <w:szCs w:val="20"/>
          <w:lang w:val="en-GB" w:eastAsia="zh-CN"/>
        </w:rPr>
      </w:pPr>
    </w:p>
    <w:p w14:paraId="7E22AFA4" w14:textId="28F4D8B0" w:rsidR="003F2EAE" w:rsidRDefault="003F2EAE" w:rsidP="003F2EAE">
      <w:pPr>
        <w:pStyle w:val="Tdoc"/>
        <w:ind w:left="0" w:firstLine="0"/>
      </w:pPr>
      <w:r>
        <w:t>RACH procedure</w:t>
      </w:r>
    </w:p>
    <w:p w14:paraId="445342F2" w14:textId="77777777" w:rsidR="00761EF6" w:rsidRPr="00761EF6" w:rsidRDefault="00761EF6" w:rsidP="00761EF6">
      <w:pPr>
        <w:rPr>
          <w:rFonts w:eastAsiaTheme="minorEastAsia"/>
          <w:szCs w:val="20"/>
          <w:lang w:eastAsia="ko-KR"/>
        </w:rPr>
      </w:pPr>
      <w:r w:rsidRPr="00761EF6">
        <w:rPr>
          <w:rFonts w:eastAsiaTheme="minorEastAsia"/>
          <w:szCs w:val="20"/>
          <w:lang w:eastAsia="ko-KR"/>
        </w:rPr>
        <w:t xml:space="preserve">In LTE LAA, initial access functionality has not been defined, including random access procedure and related physical channels/signals. On the other hand, </w:t>
      </w:r>
      <w:proofErr w:type="gramStart"/>
      <w:r w:rsidRPr="00761EF6">
        <w:rPr>
          <w:rFonts w:eastAsiaTheme="minorEastAsia"/>
          <w:szCs w:val="20"/>
          <w:lang w:eastAsia="ko-KR"/>
        </w:rPr>
        <w:t>in order to</w:t>
      </w:r>
      <w:proofErr w:type="gramEnd"/>
      <w:r w:rsidRPr="00761EF6">
        <w:rPr>
          <w:rFonts w:eastAsiaTheme="minorEastAsia"/>
          <w:szCs w:val="20"/>
          <w:lang w:eastAsia="ko-KR"/>
        </w:rPr>
        <w:t xml:space="preserve"> support standalone unlicensed operation, it is essential to support RACH procedure on top of SSB/RMSI. In NR, 4-steps PRACH procedure (CBRA) in addition to CFRA with 2-steps have been supported. If PRACH procedure with 4 steps is performed in the NR-U carrier, then four times LBT may need to be performed. This may result in the increase of the probability of random access failure. Furthermore, due to LBT failure, configured PRACH resource may be wasted. Therefore, to improve the channel access opportunity for PRACH, a simplified and efficient LBT for PRACH mechanism may be considered.</w:t>
      </w:r>
    </w:p>
    <w:p w14:paraId="493C0BEA" w14:textId="77777777" w:rsidR="00761EF6" w:rsidRPr="00761EF6" w:rsidRDefault="00761EF6" w:rsidP="00761EF6">
      <w:pPr>
        <w:rPr>
          <w:rFonts w:eastAsiaTheme="minorEastAsia"/>
          <w:szCs w:val="20"/>
          <w:lang w:eastAsia="ko-KR"/>
        </w:rPr>
      </w:pPr>
      <w:r w:rsidRPr="00761EF6">
        <w:rPr>
          <w:rFonts w:eastAsiaTheme="minorEastAsia"/>
          <w:szCs w:val="20"/>
          <w:lang w:eastAsia="ko-KR"/>
        </w:rPr>
        <w:t xml:space="preserve">Furthermore, RACH preamble transmission needs to meet ETSI regulation requirement of OCB, thus new PRACH waveform may be required in frequency domain e.g. interlace preamble sequence allocation, repeated preamble transmission, scalable numerology or multiplexing with other UL signals, etc. </w:t>
      </w:r>
    </w:p>
    <w:p w14:paraId="221655B0" w14:textId="77777777" w:rsidR="00761EF6" w:rsidRPr="00761EF6" w:rsidRDefault="00761EF6" w:rsidP="00761EF6">
      <w:pPr>
        <w:rPr>
          <w:rFonts w:eastAsiaTheme="minorEastAsia"/>
          <w:szCs w:val="20"/>
          <w:lang w:eastAsia="ko-KR"/>
        </w:rPr>
      </w:pPr>
      <w:r w:rsidRPr="00761EF6">
        <w:rPr>
          <w:rFonts w:eastAsiaTheme="minorEastAsia"/>
          <w:szCs w:val="20"/>
          <w:lang w:eastAsia="ko-KR"/>
        </w:rPr>
        <w:t>Regarding the potential enhancements for random access procedure in NR-U, it is desirable to exploit the possibility to select flexible and larger number of RACH occasions/carriers to the same maximum channel occupancy time (MCOT) as SSB/RMSI transmission. With this consideration, it can reduce LBT overhead at a UE side as well as the latency from RACH procedure. Moreover, when the maximum retransmission count is reached due to LBT fails, further power ramp-up is necessary or not needs to be evaluated through further study.</w:t>
      </w:r>
    </w:p>
    <w:p w14:paraId="714D6DF6" w14:textId="77777777" w:rsidR="00761EF6" w:rsidRPr="00761EF6" w:rsidRDefault="00761EF6" w:rsidP="00761EF6">
      <w:pPr>
        <w:rPr>
          <w:rFonts w:eastAsiaTheme="minorEastAsia"/>
          <w:szCs w:val="20"/>
          <w:lang w:eastAsia="ko-KR"/>
        </w:rPr>
      </w:pPr>
      <w:r w:rsidRPr="00761EF6">
        <w:rPr>
          <w:rFonts w:eastAsiaTheme="minorEastAsia"/>
          <w:szCs w:val="20"/>
          <w:lang w:eastAsia="ko-KR"/>
        </w:rPr>
        <w:t xml:space="preserve">Regarding the simplified RACH access, the two-step RACH procedure may be more suitable for unlicensed band operation than the conventional 4-step RACH. Furthermore, if the two-step RACH is employed, the OCB requirement for RACH can be probably easily met since UE transmits PRACH and data simultaneously in the first step. </w:t>
      </w:r>
    </w:p>
    <w:p w14:paraId="527491B0" w14:textId="1B115D77" w:rsidR="00761EF6" w:rsidRDefault="00761EF6" w:rsidP="00761EF6">
      <w:pPr>
        <w:rPr>
          <w:rFonts w:eastAsiaTheme="minorEastAsia"/>
          <w:szCs w:val="20"/>
          <w:lang w:eastAsia="ko-KR"/>
        </w:rPr>
      </w:pPr>
      <w:r w:rsidRPr="00761EF6">
        <w:rPr>
          <w:rFonts w:eastAsiaTheme="minorEastAsia"/>
          <w:szCs w:val="20"/>
          <w:lang w:eastAsia="ko-KR"/>
        </w:rPr>
        <w:t xml:space="preserve">In summary, RAN1 should seek to reuse NR basic functionality for NR-U as much as possible, which has been introduced for licensed operation, while it is also necessary to meet the regulation requirements with the potential enhancements if </w:t>
      </w:r>
      <w:r w:rsidR="00CE2CD2" w:rsidRPr="00761EF6">
        <w:rPr>
          <w:rFonts w:eastAsiaTheme="minorEastAsia"/>
          <w:szCs w:val="20"/>
          <w:lang w:eastAsia="ko-KR"/>
        </w:rPr>
        <w:t>justified</w:t>
      </w:r>
      <w:r w:rsidRPr="00761EF6">
        <w:rPr>
          <w:rFonts w:eastAsiaTheme="minorEastAsia"/>
          <w:szCs w:val="20"/>
          <w:lang w:eastAsia="ko-KR"/>
        </w:rPr>
        <w:t>.</w:t>
      </w:r>
    </w:p>
    <w:p w14:paraId="74470C93" w14:textId="0082A461" w:rsidR="00CE2CD2" w:rsidRDefault="00CE2CD2" w:rsidP="00CE2CD2">
      <w:pPr>
        <w:ind w:left="1170" w:hanging="1170"/>
        <w:rPr>
          <w:rFonts w:eastAsia="Times New Roman"/>
          <w:bCs/>
          <w:i/>
          <w:szCs w:val="20"/>
          <w:lang w:val="en-GB" w:eastAsia="zh-CN"/>
        </w:rPr>
      </w:pPr>
      <w:r>
        <w:rPr>
          <w:rFonts w:eastAsia="Times New Roman"/>
          <w:b/>
          <w:bCs/>
          <w:szCs w:val="20"/>
          <w:u w:val="single"/>
          <w:lang w:val="en-GB" w:eastAsia="zh-CN"/>
        </w:rPr>
        <w:t xml:space="preserve">Proposal </w:t>
      </w:r>
      <w:r w:rsidR="00AE0343">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sidR="00FD2A04">
        <w:rPr>
          <w:rFonts w:eastAsia="Times New Roman"/>
          <w:bCs/>
          <w:i/>
          <w:szCs w:val="20"/>
          <w:lang w:val="en-GB" w:eastAsia="zh-CN"/>
        </w:rPr>
        <w:t>M</w:t>
      </w:r>
      <w:r w:rsidR="00CB21D3">
        <w:rPr>
          <w:rFonts w:eastAsia="Times New Roman"/>
          <w:bCs/>
          <w:i/>
          <w:szCs w:val="20"/>
          <w:lang w:val="en-GB" w:eastAsia="zh-CN"/>
        </w:rPr>
        <w:t>ultiple</w:t>
      </w:r>
      <w:r w:rsidR="00A44D75">
        <w:rPr>
          <w:rFonts w:eastAsia="Times New Roman"/>
          <w:bCs/>
          <w:i/>
          <w:szCs w:val="20"/>
          <w:lang w:val="en-GB" w:eastAsia="zh-CN"/>
        </w:rPr>
        <w:t xml:space="preserve"> RACH occasions</w:t>
      </w:r>
      <w:r w:rsidR="0099486C">
        <w:rPr>
          <w:rFonts w:eastAsia="Times New Roman"/>
          <w:bCs/>
          <w:i/>
          <w:szCs w:val="20"/>
          <w:lang w:val="en-GB" w:eastAsia="zh-CN"/>
        </w:rPr>
        <w:t xml:space="preserve"> in a single SSB-RO mapping period</w:t>
      </w:r>
      <w:r w:rsidR="00A44D75">
        <w:rPr>
          <w:rFonts w:eastAsia="Times New Roman"/>
          <w:bCs/>
          <w:i/>
          <w:szCs w:val="20"/>
          <w:lang w:val="en-GB" w:eastAsia="zh-CN"/>
        </w:rPr>
        <w:t xml:space="preserve"> can be considered for NR-U.</w:t>
      </w:r>
    </w:p>
    <w:p w14:paraId="6042CF97" w14:textId="0B418699" w:rsidR="003F2EAE" w:rsidRDefault="003F2EAE" w:rsidP="00761EF6">
      <w:pPr>
        <w:rPr>
          <w:rFonts w:eastAsiaTheme="minorEastAsia"/>
          <w:szCs w:val="20"/>
          <w:lang w:eastAsia="ko-KR"/>
        </w:rPr>
      </w:pPr>
    </w:p>
    <w:p w14:paraId="611211A1" w14:textId="4220FA82" w:rsidR="00E311B9" w:rsidRDefault="00E311B9" w:rsidP="00E311B9">
      <w:pPr>
        <w:rPr>
          <w:rFonts w:eastAsiaTheme="minorEastAsia"/>
          <w:szCs w:val="20"/>
          <w:lang w:eastAsia="ko-KR"/>
        </w:rPr>
      </w:pPr>
      <w:r>
        <w:rPr>
          <w:rFonts w:eastAsiaTheme="minorEastAsia"/>
          <w:szCs w:val="20"/>
          <w:lang w:eastAsia="ko-KR"/>
        </w:rPr>
        <w:t>For NR-U, the RACH carrier selection method can be modified due to LBT failure. If the RACH carrier selection is simply dependent on only the DL pathloss reference RSRP in NR-U, it may result in unnecessary preamble transmission failures because the RACH carrier selection method does not correctly reflect whether the NR-U carrier is now busy or highly loaded or not. This would be first important turning point on whether following RACH procedure is successfully performed without failures especially in the case where UE is configured with SUL on licensed carrier but NUL is on unlicensed carrier. Even in the other case where both NUL and SUL is on unlicensed carriers, if RACH UE can properly select the RACH carrier firstly then it would increase the rate of successful RACH procedure.</w:t>
      </w:r>
    </w:p>
    <w:p w14:paraId="0D3B42E8" w14:textId="77777777" w:rsidR="00E311B9" w:rsidRDefault="00E311B9" w:rsidP="00E311B9">
      <w:pPr>
        <w:rPr>
          <w:rFonts w:eastAsiaTheme="minorEastAsia"/>
          <w:szCs w:val="20"/>
          <w:lang w:eastAsia="ko-KR"/>
        </w:rPr>
      </w:pPr>
      <w:r>
        <w:rPr>
          <w:rFonts w:eastAsiaTheme="minorEastAsia" w:hint="eastAsia"/>
          <w:szCs w:val="20"/>
          <w:lang w:eastAsia="ko-KR"/>
        </w:rPr>
        <w:t>O</w:t>
      </w:r>
      <w:r>
        <w:rPr>
          <w:rFonts w:eastAsiaTheme="minorEastAsia"/>
          <w:szCs w:val="20"/>
          <w:lang w:eastAsia="ko-KR"/>
        </w:rPr>
        <w:t xml:space="preserve">ne possible way for the proper RACH carrier selection in NR-U RACH is to consider the </w:t>
      </w:r>
      <w:r w:rsidRPr="0052662E">
        <w:rPr>
          <w:rFonts w:eastAsiaTheme="minorEastAsia"/>
          <w:szCs w:val="20"/>
          <w:lang w:eastAsia="ko-KR"/>
        </w:rPr>
        <w:t>carrier loading status</w:t>
      </w:r>
      <w:r>
        <w:rPr>
          <w:rFonts w:eastAsiaTheme="minorEastAsia"/>
          <w:szCs w:val="20"/>
          <w:lang w:eastAsia="ko-KR"/>
        </w:rPr>
        <w:t xml:space="preserve">, on top of DL pathloss reference RSRP. In addition, there can be further relationship between the RACH carrier selection and LBT operation. For example, depending on LBT failures is over the threshold value, whether the RACH carrier selection should be re-performed or not is decided at a UE side and the threshold value can be configured by </w:t>
      </w:r>
      <w:proofErr w:type="spellStart"/>
      <w:r>
        <w:rPr>
          <w:rFonts w:eastAsiaTheme="minorEastAsia"/>
          <w:szCs w:val="20"/>
          <w:lang w:eastAsia="ko-KR"/>
        </w:rPr>
        <w:t>gNB</w:t>
      </w:r>
      <w:proofErr w:type="spellEnd"/>
      <w:r>
        <w:rPr>
          <w:rFonts w:eastAsiaTheme="minorEastAsia"/>
          <w:szCs w:val="20"/>
          <w:lang w:eastAsia="ko-KR"/>
        </w:rPr>
        <w:t>.</w:t>
      </w:r>
    </w:p>
    <w:p w14:paraId="35826399" w14:textId="38AEAF4E" w:rsidR="00E311B9" w:rsidRPr="007A2B30" w:rsidRDefault="00E311B9" w:rsidP="00E311B9">
      <w:pPr>
        <w:ind w:left="1170" w:hanging="1170"/>
        <w:rPr>
          <w:rFonts w:eastAsiaTheme="minorEastAsia"/>
          <w:bCs/>
          <w:szCs w:val="20"/>
          <w:lang w:val="en-GB" w:eastAsia="ko-KR"/>
        </w:rPr>
      </w:pPr>
      <w:r>
        <w:rPr>
          <w:rFonts w:eastAsia="Times New Roman"/>
          <w:b/>
          <w:bCs/>
          <w:szCs w:val="20"/>
          <w:u w:val="single"/>
          <w:lang w:val="en-GB" w:eastAsia="zh-CN"/>
        </w:rPr>
        <w:t xml:space="preserve">Proposal </w:t>
      </w:r>
      <w:r w:rsidR="002C1C58">
        <w:rPr>
          <w:rFonts w:eastAsia="Times New Roman"/>
          <w:b/>
          <w:bCs/>
          <w:szCs w:val="20"/>
          <w:u w:val="single"/>
          <w:lang w:val="en-GB" w:eastAsia="zh-CN"/>
        </w:rPr>
        <w:t>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proposed to enhance the RACH carrier selection method for NR-U, if a UE is configured with SUL for RACH serving cell. The details are FFS.</w:t>
      </w:r>
    </w:p>
    <w:p w14:paraId="0761B2C0" w14:textId="77777777" w:rsidR="00E311B9" w:rsidRPr="00761EF6" w:rsidRDefault="00E311B9" w:rsidP="00761EF6">
      <w:pPr>
        <w:rPr>
          <w:rFonts w:eastAsiaTheme="minorEastAsia"/>
          <w:szCs w:val="20"/>
          <w:lang w:eastAsia="ko-KR"/>
        </w:rPr>
      </w:pPr>
    </w:p>
    <w:p w14:paraId="60EF47DF" w14:textId="0E3B805E" w:rsidR="008669B1" w:rsidRDefault="008669B1" w:rsidP="004A4A78">
      <w:pPr>
        <w:pStyle w:val="Tdoc"/>
        <w:ind w:left="-90" w:firstLine="0"/>
      </w:pPr>
      <w:r w:rsidRPr="00E0063E">
        <w:t>Conclusion</w:t>
      </w:r>
    </w:p>
    <w:p w14:paraId="250D672A" w14:textId="2B438A4D" w:rsidR="006D136D" w:rsidRDefault="00043F8C" w:rsidP="006D136D">
      <w:r>
        <w:t xml:space="preserve">This contribution discusses </w:t>
      </w:r>
      <w:r w:rsidR="00584F09">
        <w:t>SS/PBCH block and RMSI transmission and RACH procedure</w:t>
      </w:r>
      <w:r w:rsidR="00C167AE">
        <w:t xml:space="preserve"> </w:t>
      </w:r>
      <w:r w:rsidR="005C19D1">
        <w:t xml:space="preserve">and makes the following </w:t>
      </w:r>
      <w:r w:rsidR="006274B6">
        <w:t>proposal</w:t>
      </w:r>
      <w:r>
        <w:t xml:space="preserve">: </w:t>
      </w:r>
    </w:p>
    <w:p w14:paraId="4281675B" w14:textId="7DBE1E7F" w:rsidR="00A320C6" w:rsidRDefault="00A320C6" w:rsidP="00A320C6">
      <w:pPr>
        <w:ind w:left="1170" w:hanging="1170"/>
        <w:rPr>
          <w:rFonts w:eastAsia="Times New Roman"/>
          <w:bCs/>
          <w:i/>
          <w:szCs w:val="20"/>
          <w:lang w:val="en-GB" w:eastAsia="zh-CN"/>
        </w:rPr>
      </w:pPr>
      <w:bookmarkStart w:id="3" w:name="_Ref458739888"/>
      <w:r>
        <w:rPr>
          <w:rFonts w:eastAsia="Times New Roman"/>
          <w:b/>
          <w:bCs/>
          <w:szCs w:val="20"/>
          <w:u w:val="single"/>
          <w:lang w:val="en-GB" w:eastAsia="zh-CN"/>
        </w:rPr>
        <w:lastRenderedPageBreak/>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Cyclic shifted SSB transmission or additional SSB candidate position can be considered to handle reduced SSB transmission opportunities due to LBT failure.</w:t>
      </w:r>
    </w:p>
    <w:p w14:paraId="7D5BEAFD" w14:textId="77777777" w:rsidR="00AE0343" w:rsidRDefault="00AE0343" w:rsidP="00AE0343">
      <w:pPr>
        <w:ind w:left="1170" w:hanging="1170"/>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 xml:space="preserve">It is proposed to discuss whether </w:t>
      </w:r>
      <w:r w:rsidRPr="0008222C">
        <w:rPr>
          <w:rFonts w:eastAsia="Times New Roman"/>
          <w:bCs/>
          <w:i/>
          <w:szCs w:val="20"/>
          <w:lang w:val="en-GB" w:eastAsia="zh-CN"/>
        </w:rPr>
        <w:t>5ms DL SSB burst set window should be increased</w:t>
      </w:r>
      <w:r>
        <w:rPr>
          <w:rFonts w:eastAsia="Times New Roman"/>
          <w:bCs/>
          <w:i/>
          <w:szCs w:val="20"/>
          <w:lang w:val="en-GB" w:eastAsia="zh-CN"/>
        </w:rPr>
        <w:t xml:space="preserve"> due to potential modification of DL SSB burst set composition.</w:t>
      </w:r>
    </w:p>
    <w:p w14:paraId="2F07D4FA" w14:textId="3291889D" w:rsidR="00A320C6" w:rsidRDefault="00A320C6" w:rsidP="00A320C6">
      <w:pPr>
        <w:ind w:left="1170" w:hanging="1170"/>
        <w:rPr>
          <w:rFonts w:eastAsia="Times New Roman"/>
          <w:bCs/>
          <w:i/>
          <w:szCs w:val="20"/>
          <w:lang w:val="en-GB" w:eastAsia="zh-CN"/>
        </w:rPr>
      </w:pPr>
      <w:r>
        <w:rPr>
          <w:rFonts w:eastAsia="Times New Roman"/>
          <w:b/>
          <w:bCs/>
          <w:szCs w:val="20"/>
          <w:u w:val="single"/>
          <w:lang w:val="en-GB" w:eastAsia="zh-CN"/>
        </w:rPr>
        <w:t xml:space="preserve">Proposal </w:t>
      </w:r>
      <w:r w:rsidR="00AE0343">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sidRPr="00751522">
        <w:rPr>
          <w:rFonts w:eastAsia="Times New Roman"/>
          <w:bCs/>
          <w:i/>
          <w:szCs w:val="20"/>
          <w:lang w:val="en-GB" w:eastAsia="zh-CN"/>
        </w:rPr>
        <w:t>25us LBT</w:t>
      </w:r>
      <w:r>
        <w:rPr>
          <w:rFonts w:eastAsia="Times New Roman"/>
          <w:bCs/>
          <w:i/>
          <w:szCs w:val="20"/>
          <w:lang w:val="en-GB" w:eastAsia="zh-CN"/>
        </w:rPr>
        <w:t xml:space="preserve"> should be at least considered for SSB transmission only.</w:t>
      </w:r>
    </w:p>
    <w:p w14:paraId="503C8B03" w14:textId="78AD896F" w:rsidR="00A320C6" w:rsidRDefault="00A320C6" w:rsidP="00A320C6">
      <w:pPr>
        <w:ind w:left="1170" w:hanging="1170"/>
        <w:rPr>
          <w:rFonts w:eastAsia="Times New Roman"/>
          <w:bCs/>
          <w:i/>
          <w:szCs w:val="20"/>
          <w:lang w:val="en-GB" w:eastAsia="zh-CN"/>
        </w:rPr>
      </w:pPr>
      <w:r>
        <w:rPr>
          <w:rFonts w:eastAsia="Times New Roman"/>
          <w:b/>
          <w:bCs/>
          <w:szCs w:val="20"/>
          <w:u w:val="single"/>
          <w:lang w:val="en-GB" w:eastAsia="zh-CN"/>
        </w:rPr>
        <w:t xml:space="preserve">Proposal </w:t>
      </w:r>
      <w:r w:rsidR="00AE0343">
        <w:rPr>
          <w:rFonts w:eastAsia="Times New Roman"/>
          <w:b/>
          <w:bCs/>
          <w:szCs w:val="20"/>
          <w:u w:val="single"/>
          <w:lang w:val="en-GB" w:eastAsia="zh-CN"/>
        </w:rPr>
        <w:t>4</w:t>
      </w:r>
      <w:r w:rsidRPr="001C137C">
        <w:rPr>
          <w:rFonts w:eastAsia="Times New Roman"/>
          <w:b/>
          <w:bCs/>
          <w:szCs w:val="20"/>
          <w:u w:val="single"/>
          <w:lang w:val="en-GB" w:eastAsia="zh-CN"/>
        </w:rPr>
        <w:t>:</w:t>
      </w:r>
      <w:r w:rsidRPr="001C137C">
        <w:rPr>
          <w:rFonts w:eastAsia="Times New Roman"/>
          <w:b/>
          <w:bCs/>
          <w:szCs w:val="20"/>
          <w:lang w:val="en-GB" w:eastAsia="zh-CN"/>
        </w:rPr>
        <w:tab/>
      </w:r>
      <w:r w:rsidRPr="005B6FA4">
        <w:rPr>
          <w:rFonts w:eastAsia="Times New Roman"/>
          <w:bCs/>
          <w:i/>
          <w:szCs w:val="20"/>
          <w:lang w:val="en-GB" w:eastAsia="zh-CN"/>
        </w:rPr>
        <w:t>Evaluate enlarged opportunistic transmission of SSB and RMSI in NR unlicensed bands taking OCB and LBT regulations into accounts</w:t>
      </w:r>
      <w:r>
        <w:rPr>
          <w:rFonts w:eastAsia="Times New Roman"/>
          <w:bCs/>
          <w:i/>
          <w:szCs w:val="20"/>
          <w:lang w:val="en-GB" w:eastAsia="zh-CN"/>
        </w:rPr>
        <w:t>.</w:t>
      </w:r>
    </w:p>
    <w:p w14:paraId="45DB8FA9" w14:textId="71AC8879" w:rsidR="00A97876" w:rsidRDefault="00A97876" w:rsidP="00A97876">
      <w:pPr>
        <w:ind w:left="1170" w:hanging="1170"/>
        <w:rPr>
          <w:rFonts w:eastAsia="Times New Roman"/>
          <w:bCs/>
          <w:i/>
          <w:szCs w:val="20"/>
          <w:lang w:val="en-GB" w:eastAsia="zh-CN"/>
        </w:rPr>
      </w:pPr>
      <w:r>
        <w:rPr>
          <w:rFonts w:eastAsia="Times New Roman"/>
          <w:b/>
          <w:bCs/>
          <w:szCs w:val="20"/>
          <w:u w:val="single"/>
          <w:lang w:val="en-GB" w:eastAsia="zh-CN"/>
        </w:rPr>
        <w:t xml:space="preserve">Proposal </w:t>
      </w:r>
      <w:r w:rsidR="00AE0343">
        <w:rPr>
          <w:rFonts w:eastAsia="Times New Roman"/>
          <w:b/>
          <w:bCs/>
          <w:szCs w:val="20"/>
          <w:u w:val="single"/>
          <w:lang w:val="en-GB" w:eastAsia="zh-CN"/>
        </w:rPr>
        <w:t>5</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2-step RACH and multiple RACH occasions in a single SSB-RO mapping period can be considered for NR-U.</w:t>
      </w:r>
    </w:p>
    <w:p w14:paraId="01A4EC3F" w14:textId="4862B522" w:rsidR="00A320C6" w:rsidRPr="00A97876" w:rsidRDefault="002C1C58" w:rsidP="00A320C6">
      <w:pPr>
        <w:ind w:left="1170" w:hanging="1170"/>
        <w:rPr>
          <w:bCs/>
          <w:i/>
          <w:szCs w:val="20"/>
          <w:lang w:val="en-GB" w:eastAsia="zh-CN"/>
        </w:rPr>
      </w:pPr>
      <w:r>
        <w:rPr>
          <w:rFonts w:eastAsia="Times New Roman"/>
          <w:b/>
          <w:bCs/>
          <w:szCs w:val="20"/>
          <w:u w:val="single"/>
          <w:lang w:val="en-GB" w:eastAsia="zh-CN"/>
        </w:rPr>
        <w:t>Proposal 6</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proposed to enhance the RACH carrier selection method for NR-U, if a UE is configured with SUL for RACH serving cell. The details are FFS.</w:t>
      </w:r>
    </w:p>
    <w:p w14:paraId="3D200907" w14:textId="77777777" w:rsidR="00D52796" w:rsidRDefault="006D136D" w:rsidP="00E73CF2">
      <w:pPr>
        <w:pStyle w:val="Tdoc"/>
        <w:numPr>
          <w:ilvl w:val="0"/>
          <w:numId w:val="0"/>
        </w:numPr>
        <w:rPr>
          <w:rFonts w:ascii="Calibri" w:eastAsia="SimSun" w:hAnsi="Calibri"/>
          <w:sz w:val="20"/>
          <w:lang w:eastAsia="en-US"/>
        </w:rPr>
      </w:pPr>
      <w:r>
        <w:t>References</w:t>
      </w:r>
      <w:bookmarkEnd w:id="3"/>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319"/>
      </w:tblGrid>
      <w:tr w:rsidR="00D52796" w14:paraId="4382A07B" w14:textId="77777777" w:rsidTr="002E4DD5">
        <w:trPr>
          <w:divId w:val="2005813007"/>
          <w:tblCellSpacing w:w="15" w:type="dxa"/>
        </w:trPr>
        <w:tc>
          <w:tcPr>
            <w:tcW w:w="144" w:type="pct"/>
            <w:hideMark/>
          </w:tcPr>
          <w:p w14:paraId="1DA58320" w14:textId="77777777" w:rsidR="00D52796" w:rsidRDefault="00D52796">
            <w:pPr>
              <w:pStyle w:val="a6"/>
              <w:rPr>
                <w:noProof/>
                <w:sz w:val="24"/>
                <w:szCs w:val="24"/>
              </w:rPr>
            </w:pPr>
            <w:r>
              <w:rPr>
                <w:noProof/>
              </w:rPr>
              <w:t xml:space="preserve">[1] </w:t>
            </w:r>
          </w:p>
        </w:tc>
        <w:tc>
          <w:tcPr>
            <w:tcW w:w="0" w:type="auto"/>
          </w:tcPr>
          <w:p w14:paraId="71A43498" w14:textId="53601FFB" w:rsidR="00D52796" w:rsidRDefault="00A21F13">
            <w:pPr>
              <w:pStyle w:val="a6"/>
              <w:rPr>
                <w:noProof/>
              </w:rPr>
            </w:pPr>
            <w:r>
              <w:rPr>
                <w:noProof/>
              </w:rPr>
              <w:t>"RAN</w:t>
            </w:r>
            <w:r w:rsidR="00480CF9">
              <w:rPr>
                <w:noProof/>
              </w:rPr>
              <w:t>1</w:t>
            </w:r>
            <w:r w:rsidR="00C55A1F">
              <w:rPr>
                <w:noProof/>
              </w:rPr>
              <w:t>#9</w:t>
            </w:r>
            <w:r w:rsidR="00A6768C">
              <w:rPr>
                <w:noProof/>
              </w:rPr>
              <w:t>4</w:t>
            </w:r>
            <w:r w:rsidR="00BB2ECF">
              <w:rPr>
                <w:noProof/>
              </w:rPr>
              <w:t xml:space="preserve"> </w:t>
            </w:r>
            <w:r>
              <w:rPr>
                <w:noProof/>
              </w:rPr>
              <w:t>, Chairman Notes".</w:t>
            </w:r>
          </w:p>
        </w:tc>
      </w:tr>
    </w:tbl>
    <w:p w14:paraId="60EF47F6" w14:textId="685ABA77" w:rsidR="00E0063E" w:rsidRPr="008669B1" w:rsidRDefault="006D0EAF" w:rsidP="002E4DD5">
      <w:pPr>
        <w:pStyle w:val="Tdoc"/>
        <w:numPr>
          <w:ilvl w:val="0"/>
          <w:numId w:val="0"/>
        </w:numPr>
      </w:pPr>
      <w:r>
        <w:rPr>
          <w:rFonts w:ascii="Times New Roman" w:eastAsia="SimSun" w:hAnsi="Times New Roman"/>
          <w:noProof w:val="0"/>
          <w:sz w:val="20"/>
        </w:rPr>
        <w:fldChar w:fldCharType="end"/>
      </w:r>
    </w:p>
    <w:sectPr w:rsidR="00E0063E" w:rsidRPr="008669B1">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FCBF5" w14:textId="77777777" w:rsidR="00C7473F" w:rsidRDefault="00C7473F">
      <w:pPr>
        <w:spacing w:after="0" w:line="240" w:lineRule="auto"/>
      </w:pPr>
      <w:r>
        <w:separator/>
      </w:r>
    </w:p>
  </w:endnote>
  <w:endnote w:type="continuationSeparator" w:id="0">
    <w:p w14:paraId="67DA4AC5" w14:textId="77777777" w:rsidR="00C7473F" w:rsidRDefault="00C74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AAC9C" w14:textId="77777777" w:rsidR="00C7473F" w:rsidRDefault="00C7473F">
      <w:pPr>
        <w:spacing w:after="0" w:line="240" w:lineRule="auto"/>
      </w:pPr>
      <w:r>
        <w:separator/>
      </w:r>
    </w:p>
  </w:footnote>
  <w:footnote w:type="continuationSeparator" w:id="0">
    <w:p w14:paraId="4C4F3943" w14:textId="77777777" w:rsidR="00C7473F" w:rsidRDefault="00C747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4"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20"/>
  </w:num>
  <w:num w:numId="3">
    <w:abstractNumId w:val="10"/>
  </w:num>
  <w:num w:numId="4">
    <w:abstractNumId w:val="8"/>
  </w:num>
  <w:num w:numId="5">
    <w:abstractNumId w:val="2"/>
    <w:lvlOverride w:ilvl="0">
      <w:startOverride w:val="1"/>
    </w:lvlOverride>
  </w:num>
  <w:num w:numId="6">
    <w:abstractNumId w:val="4"/>
    <w:lvlOverride w:ilvl="0">
      <w:startOverride w:val="2"/>
    </w:lvlOverride>
  </w:num>
  <w:num w:numId="7">
    <w:abstractNumId w:val="25"/>
  </w:num>
  <w:num w:numId="8">
    <w:abstractNumId w:val="19"/>
  </w:num>
  <w:num w:numId="9">
    <w:abstractNumId w:val="12"/>
  </w:num>
  <w:num w:numId="10">
    <w:abstractNumId w:val="16"/>
  </w:num>
  <w:num w:numId="11">
    <w:abstractNumId w:val="26"/>
  </w:num>
  <w:num w:numId="12">
    <w:abstractNumId w:val="15"/>
  </w:num>
  <w:num w:numId="13">
    <w:abstractNumId w:val="14"/>
  </w:num>
  <w:num w:numId="14">
    <w:abstractNumId w:val="6"/>
  </w:num>
  <w:num w:numId="15">
    <w:abstractNumId w:val="24"/>
  </w:num>
  <w:num w:numId="16">
    <w:abstractNumId w:val="3"/>
  </w:num>
  <w:num w:numId="17">
    <w:abstractNumId w:val="18"/>
  </w:num>
  <w:num w:numId="18">
    <w:abstractNumId w:val="17"/>
  </w:num>
  <w:num w:numId="19">
    <w:abstractNumId w:val="30"/>
  </w:num>
  <w:num w:numId="20">
    <w:abstractNumId w:val="0"/>
  </w:num>
  <w:num w:numId="21">
    <w:abstractNumId w:val="2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2"/>
    </w:lvlOverride>
    <w:lvlOverride w:ilvl="1">
      <w:startOverride w:val="2"/>
    </w:lvlOverride>
  </w:num>
  <w:num w:numId="27">
    <w:abstractNumId w:val="28"/>
  </w:num>
  <w:num w:numId="28">
    <w:abstractNumId w:val="32"/>
  </w:num>
  <w:num w:numId="29">
    <w:abstractNumId w:val="5"/>
  </w:num>
  <w:num w:numId="30">
    <w:abstractNumId w:val="7"/>
  </w:num>
  <w:num w:numId="31">
    <w:abstractNumId w:val="1"/>
  </w:num>
  <w:num w:numId="32">
    <w:abstractNumId w:val="9"/>
  </w:num>
  <w:num w:numId="33">
    <w:abstractNumId w:val="11"/>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B3C"/>
    <w:rsid w:val="00001F9E"/>
    <w:rsid w:val="000045BA"/>
    <w:rsid w:val="0000765D"/>
    <w:rsid w:val="000161B4"/>
    <w:rsid w:val="00020BB3"/>
    <w:rsid w:val="000232B5"/>
    <w:rsid w:val="00023DEF"/>
    <w:rsid w:val="000270B0"/>
    <w:rsid w:val="000279FA"/>
    <w:rsid w:val="00031A47"/>
    <w:rsid w:val="00031C0E"/>
    <w:rsid w:val="0003285F"/>
    <w:rsid w:val="00033875"/>
    <w:rsid w:val="000355BB"/>
    <w:rsid w:val="000378AA"/>
    <w:rsid w:val="00043799"/>
    <w:rsid w:val="00043F8C"/>
    <w:rsid w:val="000467FD"/>
    <w:rsid w:val="00055DBB"/>
    <w:rsid w:val="00061DD2"/>
    <w:rsid w:val="00066057"/>
    <w:rsid w:val="00071D7B"/>
    <w:rsid w:val="0007355E"/>
    <w:rsid w:val="0008222C"/>
    <w:rsid w:val="00083312"/>
    <w:rsid w:val="00095525"/>
    <w:rsid w:val="0009610B"/>
    <w:rsid w:val="0009624B"/>
    <w:rsid w:val="00096596"/>
    <w:rsid w:val="000A1656"/>
    <w:rsid w:val="000B2570"/>
    <w:rsid w:val="000B2BDB"/>
    <w:rsid w:val="000B4F03"/>
    <w:rsid w:val="000C38DA"/>
    <w:rsid w:val="000C6071"/>
    <w:rsid w:val="000C67B4"/>
    <w:rsid w:val="000C75FF"/>
    <w:rsid w:val="000E3F6D"/>
    <w:rsid w:val="000F5A71"/>
    <w:rsid w:val="00100001"/>
    <w:rsid w:val="00114493"/>
    <w:rsid w:val="00116352"/>
    <w:rsid w:val="00123103"/>
    <w:rsid w:val="00123F09"/>
    <w:rsid w:val="001266F8"/>
    <w:rsid w:val="00133829"/>
    <w:rsid w:val="00136F78"/>
    <w:rsid w:val="00142882"/>
    <w:rsid w:val="00152496"/>
    <w:rsid w:val="00153DFC"/>
    <w:rsid w:val="001543DF"/>
    <w:rsid w:val="00154E29"/>
    <w:rsid w:val="00154E4B"/>
    <w:rsid w:val="001567EB"/>
    <w:rsid w:val="00163512"/>
    <w:rsid w:val="00163EF4"/>
    <w:rsid w:val="001650BF"/>
    <w:rsid w:val="0016564A"/>
    <w:rsid w:val="001672FC"/>
    <w:rsid w:val="00171855"/>
    <w:rsid w:val="0017308D"/>
    <w:rsid w:val="00174865"/>
    <w:rsid w:val="00175FAB"/>
    <w:rsid w:val="00183FED"/>
    <w:rsid w:val="00187985"/>
    <w:rsid w:val="00190474"/>
    <w:rsid w:val="00190D67"/>
    <w:rsid w:val="0019188A"/>
    <w:rsid w:val="00195430"/>
    <w:rsid w:val="00196733"/>
    <w:rsid w:val="001A1FDD"/>
    <w:rsid w:val="001A3616"/>
    <w:rsid w:val="001A6F5A"/>
    <w:rsid w:val="001B7E53"/>
    <w:rsid w:val="001C072B"/>
    <w:rsid w:val="001C137C"/>
    <w:rsid w:val="001C13E7"/>
    <w:rsid w:val="001D20B4"/>
    <w:rsid w:val="001E113F"/>
    <w:rsid w:val="001E221E"/>
    <w:rsid w:val="001E5CA5"/>
    <w:rsid w:val="001E5E85"/>
    <w:rsid w:val="001F5F0A"/>
    <w:rsid w:val="002040AF"/>
    <w:rsid w:val="002049D9"/>
    <w:rsid w:val="0020567B"/>
    <w:rsid w:val="002111A4"/>
    <w:rsid w:val="00211261"/>
    <w:rsid w:val="0022299C"/>
    <w:rsid w:val="00223D32"/>
    <w:rsid w:val="00225C81"/>
    <w:rsid w:val="00230CA7"/>
    <w:rsid w:val="00242773"/>
    <w:rsid w:val="002441E9"/>
    <w:rsid w:val="00247EAA"/>
    <w:rsid w:val="00251A95"/>
    <w:rsid w:val="00257333"/>
    <w:rsid w:val="00260222"/>
    <w:rsid w:val="00260F24"/>
    <w:rsid w:val="00261015"/>
    <w:rsid w:val="00271C9F"/>
    <w:rsid w:val="002745A5"/>
    <w:rsid w:val="00275D7B"/>
    <w:rsid w:val="00276574"/>
    <w:rsid w:val="00283702"/>
    <w:rsid w:val="00284186"/>
    <w:rsid w:val="00285D82"/>
    <w:rsid w:val="00291433"/>
    <w:rsid w:val="00293EC9"/>
    <w:rsid w:val="00295334"/>
    <w:rsid w:val="002976AE"/>
    <w:rsid w:val="0029788A"/>
    <w:rsid w:val="002A2D30"/>
    <w:rsid w:val="002A34DB"/>
    <w:rsid w:val="002A4320"/>
    <w:rsid w:val="002A5667"/>
    <w:rsid w:val="002A6902"/>
    <w:rsid w:val="002B51AD"/>
    <w:rsid w:val="002B60E2"/>
    <w:rsid w:val="002B6E19"/>
    <w:rsid w:val="002C1C58"/>
    <w:rsid w:val="002C4267"/>
    <w:rsid w:val="002C4CAB"/>
    <w:rsid w:val="002D108B"/>
    <w:rsid w:val="002D519E"/>
    <w:rsid w:val="002E4DD5"/>
    <w:rsid w:val="002E799A"/>
    <w:rsid w:val="002F04F8"/>
    <w:rsid w:val="002F153B"/>
    <w:rsid w:val="002F1706"/>
    <w:rsid w:val="002F432E"/>
    <w:rsid w:val="002F575F"/>
    <w:rsid w:val="002F5E68"/>
    <w:rsid w:val="002F65A6"/>
    <w:rsid w:val="00301A06"/>
    <w:rsid w:val="003121E6"/>
    <w:rsid w:val="00320678"/>
    <w:rsid w:val="00323003"/>
    <w:rsid w:val="00331CB2"/>
    <w:rsid w:val="00335BFB"/>
    <w:rsid w:val="00336D1D"/>
    <w:rsid w:val="00344D3D"/>
    <w:rsid w:val="003649A8"/>
    <w:rsid w:val="003654BF"/>
    <w:rsid w:val="00382DC2"/>
    <w:rsid w:val="003830B8"/>
    <w:rsid w:val="00384D50"/>
    <w:rsid w:val="00392D6E"/>
    <w:rsid w:val="003A3C78"/>
    <w:rsid w:val="003A766F"/>
    <w:rsid w:val="003B2460"/>
    <w:rsid w:val="003B6208"/>
    <w:rsid w:val="003C009E"/>
    <w:rsid w:val="003C6BF7"/>
    <w:rsid w:val="003D0298"/>
    <w:rsid w:val="003D76A8"/>
    <w:rsid w:val="003D7AF6"/>
    <w:rsid w:val="003E77B6"/>
    <w:rsid w:val="003F13B0"/>
    <w:rsid w:val="003F2EAE"/>
    <w:rsid w:val="003F3FB4"/>
    <w:rsid w:val="00401BF6"/>
    <w:rsid w:val="00415F96"/>
    <w:rsid w:val="00416196"/>
    <w:rsid w:val="004162B4"/>
    <w:rsid w:val="00423EEA"/>
    <w:rsid w:val="00424D9B"/>
    <w:rsid w:val="00433DA4"/>
    <w:rsid w:val="00434955"/>
    <w:rsid w:val="0043531F"/>
    <w:rsid w:val="00437AB1"/>
    <w:rsid w:val="00440283"/>
    <w:rsid w:val="00445470"/>
    <w:rsid w:val="00445B7E"/>
    <w:rsid w:val="004504B4"/>
    <w:rsid w:val="004509C2"/>
    <w:rsid w:val="00453DB6"/>
    <w:rsid w:val="00456991"/>
    <w:rsid w:val="00456DE3"/>
    <w:rsid w:val="00460EBA"/>
    <w:rsid w:val="00466D39"/>
    <w:rsid w:val="00471314"/>
    <w:rsid w:val="0047229C"/>
    <w:rsid w:val="0047293B"/>
    <w:rsid w:val="004736A8"/>
    <w:rsid w:val="004739F6"/>
    <w:rsid w:val="0047461E"/>
    <w:rsid w:val="004761A2"/>
    <w:rsid w:val="004761DB"/>
    <w:rsid w:val="00476783"/>
    <w:rsid w:val="00480CF9"/>
    <w:rsid w:val="00482CF5"/>
    <w:rsid w:val="00486F08"/>
    <w:rsid w:val="00487FF0"/>
    <w:rsid w:val="0049247B"/>
    <w:rsid w:val="00494DFE"/>
    <w:rsid w:val="004966F6"/>
    <w:rsid w:val="004A40AE"/>
    <w:rsid w:val="004A46DD"/>
    <w:rsid w:val="004A4A78"/>
    <w:rsid w:val="004A5914"/>
    <w:rsid w:val="004B03A0"/>
    <w:rsid w:val="004B2F1A"/>
    <w:rsid w:val="004B64C4"/>
    <w:rsid w:val="004B708E"/>
    <w:rsid w:val="004C0AD4"/>
    <w:rsid w:val="004C72EE"/>
    <w:rsid w:val="004D3514"/>
    <w:rsid w:val="004E0FA3"/>
    <w:rsid w:val="004F1398"/>
    <w:rsid w:val="004F316F"/>
    <w:rsid w:val="004F52E4"/>
    <w:rsid w:val="005014BE"/>
    <w:rsid w:val="005036E2"/>
    <w:rsid w:val="00504AB4"/>
    <w:rsid w:val="00504FD0"/>
    <w:rsid w:val="005067A7"/>
    <w:rsid w:val="0050715C"/>
    <w:rsid w:val="005107D4"/>
    <w:rsid w:val="005117DA"/>
    <w:rsid w:val="00516408"/>
    <w:rsid w:val="00516777"/>
    <w:rsid w:val="00520330"/>
    <w:rsid w:val="00523205"/>
    <w:rsid w:val="0052679F"/>
    <w:rsid w:val="0053209F"/>
    <w:rsid w:val="00533422"/>
    <w:rsid w:val="00536EF3"/>
    <w:rsid w:val="00542BF0"/>
    <w:rsid w:val="00550983"/>
    <w:rsid w:val="00552D3F"/>
    <w:rsid w:val="00556E73"/>
    <w:rsid w:val="0055706A"/>
    <w:rsid w:val="00557C63"/>
    <w:rsid w:val="00557EDD"/>
    <w:rsid w:val="00562AC7"/>
    <w:rsid w:val="0056303E"/>
    <w:rsid w:val="005643D1"/>
    <w:rsid w:val="005676C0"/>
    <w:rsid w:val="005679F0"/>
    <w:rsid w:val="0057126A"/>
    <w:rsid w:val="0057462D"/>
    <w:rsid w:val="00577BD8"/>
    <w:rsid w:val="00582827"/>
    <w:rsid w:val="00583E54"/>
    <w:rsid w:val="00584F09"/>
    <w:rsid w:val="00593190"/>
    <w:rsid w:val="005A1A66"/>
    <w:rsid w:val="005A4656"/>
    <w:rsid w:val="005A7EC0"/>
    <w:rsid w:val="005B6FA4"/>
    <w:rsid w:val="005C19D1"/>
    <w:rsid w:val="005D0857"/>
    <w:rsid w:val="005D362E"/>
    <w:rsid w:val="005D58A9"/>
    <w:rsid w:val="005D622A"/>
    <w:rsid w:val="005D7D85"/>
    <w:rsid w:val="005E4641"/>
    <w:rsid w:val="005E6AAC"/>
    <w:rsid w:val="005F0753"/>
    <w:rsid w:val="005F262D"/>
    <w:rsid w:val="005F571F"/>
    <w:rsid w:val="00600479"/>
    <w:rsid w:val="006024EA"/>
    <w:rsid w:val="00603A46"/>
    <w:rsid w:val="00603E90"/>
    <w:rsid w:val="0062121E"/>
    <w:rsid w:val="00621C29"/>
    <w:rsid w:val="006242D5"/>
    <w:rsid w:val="00624E3A"/>
    <w:rsid w:val="006274B6"/>
    <w:rsid w:val="006319C2"/>
    <w:rsid w:val="0064496B"/>
    <w:rsid w:val="006476F9"/>
    <w:rsid w:val="00650E60"/>
    <w:rsid w:val="00651804"/>
    <w:rsid w:val="006632EC"/>
    <w:rsid w:val="00663F21"/>
    <w:rsid w:val="00667231"/>
    <w:rsid w:val="006674AF"/>
    <w:rsid w:val="006753F1"/>
    <w:rsid w:val="006825B8"/>
    <w:rsid w:val="00683A4C"/>
    <w:rsid w:val="00687129"/>
    <w:rsid w:val="00690A9F"/>
    <w:rsid w:val="00690ED8"/>
    <w:rsid w:val="00692413"/>
    <w:rsid w:val="006A27E5"/>
    <w:rsid w:val="006B21C6"/>
    <w:rsid w:val="006B3448"/>
    <w:rsid w:val="006C15FA"/>
    <w:rsid w:val="006C222D"/>
    <w:rsid w:val="006C551C"/>
    <w:rsid w:val="006C6E89"/>
    <w:rsid w:val="006D0058"/>
    <w:rsid w:val="006D0EAF"/>
    <w:rsid w:val="006D136D"/>
    <w:rsid w:val="006E2EDB"/>
    <w:rsid w:val="006E3CDB"/>
    <w:rsid w:val="006F0F83"/>
    <w:rsid w:val="006F2CDA"/>
    <w:rsid w:val="006F53D1"/>
    <w:rsid w:val="00710F53"/>
    <w:rsid w:val="0071408B"/>
    <w:rsid w:val="007167B9"/>
    <w:rsid w:val="007177E6"/>
    <w:rsid w:val="0072015F"/>
    <w:rsid w:val="0073103A"/>
    <w:rsid w:val="00732A41"/>
    <w:rsid w:val="00733DD7"/>
    <w:rsid w:val="0074564B"/>
    <w:rsid w:val="0074639E"/>
    <w:rsid w:val="00751522"/>
    <w:rsid w:val="00753569"/>
    <w:rsid w:val="00761EF6"/>
    <w:rsid w:val="0076597C"/>
    <w:rsid w:val="0076605A"/>
    <w:rsid w:val="00770295"/>
    <w:rsid w:val="00772A1C"/>
    <w:rsid w:val="00780325"/>
    <w:rsid w:val="00783A80"/>
    <w:rsid w:val="00783F29"/>
    <w:rsid w:val="007877EE"/>
    <w:rsid w:val="00790654"/>
    <w:rsid w:val="00792327"/>
    <w:rsid w:val="0079416C"/>
    <w:rsid w:val="00797358"/>
    <w:rsid w:val="007A49CD"/>
    <w:rsid w:val="007A4B83"/>
    <w:rsid w:val="007B0D7C"/>
    <w:rsid w:val="007B22B3"/>
    <w:rsid w:val="007B3DDD"/>
    <w:rsid w:val="007C6E5A"/>
    <w:rsid w:val="007D290A"/>
    <w:rsid w:val="007D36FF"/>
    <w:rsid w:val="007D5D78"/>
    <w:rsid w:val="007D7DFE"/>
    <w:rsid w:val="007E272F"/>
    <w:rsid w:val="007E41A4"/>
    <w:rsid w:val="007F7B6E"/>
    <w:rsid w:val="00806BCA"/>
    <w:rsid w:val="00807A1A"/>
    <w:rsid w:val="00814712"/>
    <w:rsid w:val="00826C94"/>
    <w:rsid w:val="00827742"/>
    <w:rsid w:val="00827BF2"/>
    <w:rsid w:val="00830352"/>
    <w:rsid w:val="0083198E"/>
    <w:rsid w:val="00835411"/>
    <w:rsid w:val="00840DD6"/>
    <w:rsid w:val="0084445E"/>
    <w:rsid w:val="00845784"/>
    <w:rsid w:val="0084749C"/>
    <w:rsid w:val="008523F7"/>
    <w:rsid w:val="008525D2"/>
    <w:rsid w:val="008669B1"/>
    <w:rsid w:val="00874674"/>
    <w:rsid w:val="008775ED"/>
    <w:rsid w:val="0088495B"/>
    <w:rsid w:val="00893290"/>
    <w:rsid w:val="00894130"/>
    <w:rsid w:val="008943D7"/>
    <w:rsid w:val="008A041E"/>
    <w:rsid w:val="008A3B9F"/>
    <w:rsid w:val="008A43A0"/>
    <w:rsid w:val="008A4443"/>
    <w:rsid w:val="008B1AB5"/>
    <w:rsid w:val="008B1CE1"/>
    <w:rsid w:val="008B2C70"/>
    <w:rsid w:val="008C0338"/>
    <w:rsid w:val="008C0C20"/>
    <w:rsid w:val="008C48A5"/>
    <w:rsid w:val="008C7B03"/>
    <w:rsid w:val="008D3F7D"/>
    <w:rsid w:val="008D6190"/>
    <w:rsid w:val="008D7CAD"/>
    <w:rsid w:val="008E3E23"/>
    <w:rsid w:val="008F124A"/>
    <w:rsid w:val="008F542F"/>
    <w:rsid w:val="00900E36"/>
    <w:rsid w:val="00901879"/>
    <w:rsid w:val="00901C24"/>
    <w:rsid w:val="0090311C"/>
    <w:rsid w:val="00910B7A"/>
    <w:rsid w:val="00912C36"/>
    <w:rsid w:val="00913961"/>
    <w:rsid w:val="00914241"/>
    <w:rsid w:val="00920B75"/>
    <w:rsid w:val="0092329B"/>
    <w:rsid w:val="00923D5F"/>
    <w:rsid w:val="00925869"/>
    <w:rsid w:val="00930C49"/>
    <w:rsid w:val="009340C0"/>
    <w:rsid w:val="00952743"/>
    <w:rsid w:val="00955E01"/>
    <w:rsid w:val="00955F6D"/>
    <w:rsid w:val="009573C2"/>
    <w:rsid w:val="00957A1E"/>
    <w:rsid w:val="0096297D"/>
    <w:rsid w:val="00965E38"/>
    <w:rsid w:val="0097023E"/>
    <w:rsid w:val="00972C8E"/>
    <w:rsid w:val="00980291"/>
    <w:rsid w:val="00980A94"/>
    <w:rsid w:val="0098432E"/>
    <w:rsid w:val="00990376"/>
    <w:rsid w:val="0099486C"/>
    <w:rsid w:val="009950C6"/>
    <w:rsid w:val="009A1C03"/>
    <w:rsid w:val="009B1181"/>
    <w:rsid w:val="009B5F98"/>
    <w:rsid w:val="009C2C7B"/>
    <w:rsid w:val="009C4D8E"/>
    <w:rsid w:val="009D1F5A"/>
    <w:rsid w:val="009D6F7D"/>
    <w:rsid w:val="009E39EF"/>
    <w:rsid w:val="009E3B6E"/>
    <w:rsid w:val="009E676D"/>
    <w:rsid w:val="009E7171"/>
    <w:rsid w:val="009F0C13"/>
    <w:rsid w:val="009F466F"/>
    <w:rsid w:val="009F68F6"/>
    <w:rsid w:val="009F758B"/>
    <w:rsid w:val="00A003A8"/>
    <w:rsid w:val="00A05BE7"/>
    <w:rsid w:val="00A06418"/>
    <w:rsid w:val="00A0649F"/>
    <w:rsid w:val="00A1125D"/>
    <w:rsid w:val="00A1246A"/>
    <w:rsid w:val="00A170EB"/>
    <w:rsid w:val="00A21F13"/>
    <w:rsid w:val="00A320C6"/>
    <w:rsid w:val="00A401B2"/>
    <w:rsid w:val="00A44954"/>
    <w:rsid w:val="00A44D75"/>
    <w:rsid w:val="00A5035B"/>
    <w:rsid w:val="00A517B1"/>
    <w:rsid w:val="00A554DF"/>
    <w:rsid w:val="00A560B5"/>
    <w:rsid w:val="00A5649D"/>
    <w:rsid w:val="00A56670"/>
    <w:rsid w:val="00A56C72"/>
    <w:rsid w:val="00A615EA"/>
    <w:rsid w:val="00A62968"/>
    <w:rsid w:val="00A63B12"/>
    <w:rsid w:val="00A67587"/>
    <w:rsid w:val="00A6768C"/>
    <w:rsid w:val="00A70DE7"/>
    <w:rsid w:val="00A74AC9"/>
    <w:rsid w:val="00A824AF"/>
    <w:rsid w:val="00A86A88"/>
    <w:rsid w:val="00A86D91"/>
    <w:rsid w:val="00A87DD9"/>
    <w:rsid w:val="00A90EBD"/>
    <w:rsid w:val="00A97876"/>
    <w:rsid w:val="00AA4B0B"/>
    <w:rsid w:val="00AA5001"/>
    <w:rsid w:val="00AB045C"/>
    <w:rsid w:val="00AC43B2"/>
    <w:rsid w:val="00AC4F72"/>
    <w:rsid w:val="00AD4E6A"/>
    <w:rsid w:val="00AD76E3"/>
    <w:rsid w:val="00AE0343"/>
    <w:rsid w:val="00AE0F2A"/>
    <w:rsid w:val="00AF256D"/>
    <w:rsid w:val="00AF2EB8"/>
    <w:rsid w:val="00AF66D8"/>
    <w:rsid w:val="00B04E33"/>
    <w:rsid w:val="00B2562D"/>
    <w:rsid w:val="00B3415E"/>
    <w:rsid w:val="00B4160E"/>
    <w:rsid w:val="00B45EDF"/>
    <w:rsid w:val="00B5527B"/>
    <w:rsid w:val="00B61280"/>
    <w:rsid w:val="00B65189"/>
    <w:rsid w:val="00B70D0A"/>
    <w:rsid w:val="00B743FD"/>
    <w:rsid w:val="00B74D9C"/>
    <w:rsid w:val="00B76EA2"/>
    <w:rsid w:val="00B8326D"/>
    <w:rsid w:val="00B915C9"/>
    <w:rsid w:val="00B9317C"/>
    <w:rsid w:val="00B945D4"/>
    <w:rsid w:val="00B94D52"/>
    <w:rsid w:val="00BB0E0D"/>
    <w:rsid w:val="00BB246E"/>
    <w:rsid w:val="00BB2ECF"/>
    <w:rsid w:val="00BB3E05"/>
    <w:rsid w:val="00BB4A45"/>
    <w:rsid w:val="00BC035A"/>
    <w:rsid w:val="00BC1D68"/>
    <w:rsid w:val="00BC3B63"/>
    <w:rsid w:val="00BD47AD"/>
    <w:rsid w:val="00BE7982"/>
    <w:rsid w:val="00BF1A22"/>
    <w:rsid w:val="00BF1F96"/>
    <w:rsid w:val="00BF28E0"/>
    <w:rsid w:val="00BF6CF0"/>
    <w:rsid w:val="00C0320F"/>
    <w:rsid w:val="00C0460F"/>
    <w:rsid w:val="00C06CFA"/>
    <w:rsid w:val="00C12D8A"/>
    <w:rsid w:val="00C167AE"/>
    <w:rsid w:val="00C16FDF"/>
    <w:rsid w:val="00C471C2"/>
    <w:rsid w:val="00C51BD5"/>
    <w:rsid w:val="00C52641"/>
    <w:rsid w:val="00C53590"/>
    <w:rsid w:val="00C55A1F"/>
    <w:rsid w:val="00C5748F"/>
    <w:rsid w:val="00C64C20"/>
    <w:rsid w:val="00C655BB"/>
    <w:rsid w:val="00C67B49"/>
    <w:rsid w:val="00C71174"/>
    <w:rsid w:val="00C7137F"/>
    <w:rsid w:val="00C7473F"/>
    <w:rsid w:val="00C839B7"/>
    <w:rsid w:val="00C85BF2"/>
    <w:rsid w:val="00C87617"/>
    <w:rsid w:val="00C90D45"/>
    <w:rsid w:val="00C96E5D"/>
    <w:rsid w:val="00CA5AC6"/>
    <w:rsid w:val="00CB21D3"/>
    <w:rsid w:val="00CB31F6"/>
    <w:rsid w:val="00CB4F1D"/>
    <w:rsid w:val="00CB6AB5"/>
    <w:rsid w:val="00CC41A2"/>
    <w:rsid w:val="00CC6A8C"/>
    <w:rsid w:val="00CC760A"/>
    <w:rsid w:val="00CD3B95"/>
    <w:rsid w:val="00CE0FFB"/>
    <w:rsid w:val="00CE1250"/>
    <w:rsid w:val="00CE2CD2"/>
    <w:rsid w:val="00CE30AE"/>
    <w:rsid w:val="00CE70AB"/>
    <w:rsid w:val="00CF29EE"/>
    <w:rsid w:val="00CF7705"/>
    <w:rsid w:val="00D04FEE"/>
    <w:rsid w:val="00D20B50"/>
    <w:rsid w:val="00D21902"/>
    <w:rsid w:val="00D24C46"/>
    <w:rsid w:val="00D24E9C"/>
    <w:rsid w:val="00D273AC"/>
    <w:rsid w:val="00D30D35"/>
    <w:rsid w:val="00D32077"/>
    <w:rsid w:val="00D40B68"/>
    <w:rsid w:val="00D41D73"/>
    <w:rsid w:val="00D46932"/>
    <w:rsid w:val="00D46F95"/>
    <w:rsid w:val="00D52796"/>
    <w:rsid w:val="00D54884"/>
    <w:rsid w:val="00D57905"/>
    <w:rsid w:val="00D6196A"/>
    <w:rsid w:val="00D65AAE"/>
    <w:rsid w:val="00D66564"/>
    <w:rsid w:val="00D70BD0"/>
    <w:rsid w:val="00D74365"/>
    <w:rsid w:val="00D75EC2"/>
    <w:rsid w:val="00D84614"/>
    <w:rsid w:val="00D8472B"/>
    <w:rsid w:val="00DA0A8B"/>
    <w:rsid w:val="00DA3465"/>
    <w:rsid w:val="00DA50E7"/>
    <w:rsid w:val="00DA57F2"/>
    <w:rsid w:val="00DC299B"/>
    <w:rsid w:val="00DC4969"/>
    <w:rsid w:val="00DD7E44"/>
    <w:rsid w:val="00DE5114"/>
    <w:rsid w:val="00DE639C"/>
    <w:rsid w:val="00DE6702"/>
    <w:rsid w:val="00DF07FB"/>
    <w:rsid w:val="00DF51FD"/>
    <w:rsid w:val="00E0063E"/>
    <w:rsid w:val="00E1252E"/>
    <w:rsid w:val="00E15D79"/>
    <w:rsid w:val="00E172AB"/>
    <w:rsid w:val="00E311B9"/>
    <w:rsid w:val="00E31A42"/>
    <w:rsid w:val="00E31E41"/>
    <w:rsid w:val="00E3225E"/>
    <w:rsid w:val="00E349A0"/>
    <w:rsid w:val="00E4154D"/>
    <w:rsid w:val="00E4258F"/>
    <w:rsid w:val="00E42BBE"/>
    <w:rsid w:val="00E446B1"/>
    <w:rsid w:val="00E4787D"/>
    <w:rsid w:val="00E53137"/>
    <w:rsid w:val="00E54C38"/>
    <w:rsid w:val="00E60548"/>
    <w:rsid w:val="00E60B81"/>
    <w:rsid w:val="00E627B1"/>
    <w:rsid w:val="00E629C2"/>
    <w:rsid w:val="00E66747"/>
    <w:rsid w:val="00E70758"/>
    <w:rsid w:val="00E73CF2"/>
    <w:rsid w:val="00E92D10"/>
    <w:rsid w:val="00E936F6"/>
    <w:rsid w:val="00EA69D8"/>
    <w:rsid w:val="00EC105A"/>
    <w:rsid w:val="00EC1779"/>
    <w:rsid w:val="00ED00AF"/>
    <w:rsid w:val="00ED4244"/>
    <w:rsid w:val="00ED5616"/>
    <w:rsid w:val="00ED5A53"/>
    <w:rsid w:val="00ED7CB4"/>
    <w:rsid w:val="00EE6198"/>
    <w:rsid w:val="00EF07B1"/>
    <w:rsid w:val="00EF2550"/>
    <w:rsid w:val="00EF48E4"/>
    <w:rsid w:val="00EF693B"/>
    <w:rsid w:val="00EF7688"/>
    <w:rsid w:val="00F061CF"/>
    <w:rsid w:val="00F117A5"/>
    <w:rsid w:val="00F12368"/>
    <w:rsid w:val="00F14223"/>
    <w:rsid w:val="00F14233"/>
    <w:rsid w:val="00F16840"/>
    <w:rsid w:val="00F23D2F"/>
    <w:rsid w:val="00F27106"/>
    <w:rsid w:val="00F37E6E"/>
    <w:rsid w:val="00F421C5"/>
    <w:rsid w:val="00F431B4"/>
    <w:rsid w:val="00F43D48"/>
    <w:rsid w:val="00F471C7"/>
    <w:rsid w:val="00F52C55"/>
    <w:rsid w:val="00F56801"/>
    <w:rsid w:val="00F56B66"/>
    <w:rsid w:val="00F5721E"/>
    <w:rsid w:val="00F63557"/>
    <w:rsid w:val="00F708A6"/>
    <w:rsid w:val="00F816DF"/>
    <w:rsid w:val="00F9450E"/>
    <w:rsid w:val="00F94B7D"/>
    <w:rsid w:val="00F9599A"/>
    <w:rsid w:val="00F96025"/>
    <w:rsid w:val="00FA12E6"/>
    <w:rsid w:val="00FA3E42"/>
    <w:rsid w:val="00FA5479"/>
    <w:rsid w:val="00FB436A"/>
    <w:rsid w:val="00FC668E"/>
    <w:rsid w:val="00FC7B59"/>
    <w:rsid w:val="00FD2A04"/>
    <w:rsid w:val="00FD690B"/>
    <w:rsid w:val="00FE02DE"/>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70EB"/>
    <w:pPr>
      <w:spacing w:after="160" w:line="259" w:lineRule="auto"/>
    </w:pPr>
    <w:rPr>
      <w:rFonts w:ascii="Times New Roman" w:hAnsi="Times New Roman"/>
      <w:color w:val="000000" w:themeColor="text1"/>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A170EB"/>
    <w:pPr>
      <w:spacing w:after="200" w:line="240" w:lineRule="auto"/>
    </w:pPr>
    <w:rPr>
      <w:rFonts w:eastAsia="Times New Roman"/>
      <w:iCs/>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2</b:RefOrder>
  </b:Source>
  <b:Source>
    <b:Tag>R102UP</b:Tag>
    <b:SourceType>ConferenceProceedings</b:SourceType>
    <b:Guid>{0A152AA5-DC9F-4641-97C8-B8BC5741F20C}</b:Guid>
    <b:Title>RAN2#102, Chairman Notes</b:Title>
    <b:RefOrder>1</b:RefOrder>
  </b:Source>
  <b:Source>
    <b:Tag>RO_CR</b:Tag>
    <b:SourceType>ConferenceProceedings</b:SourceType>
    <b:Guid>{076C2728-86F3-4E89-BC5C-53D1394DCDE0}</b:Guid>
    <b:Title>R2-180xxxx, "Correction to RO selection procedure", Intel Corporation</b:Title>
    <b:RefOrder>4</b:RefOrder>
  </b:Source>
  <b:Source>
    <b:Tag>3GPP38213</b:Tag>
    <b:SourceType>ConferenceProceedings</b:SourceType>
    <b:Guid>{53D82B3C-BA28-4265-9B82-8253AA94AF30}</b:Guid>
    <b:Title>3GPP TS 38.213, NR; Physical layer procedures for control</b:Title>
    <b:RefOrder>3</b:RefOrder>
  </b:Source>
</b:Sources>
</file>

<file path=customXml/itemProps1.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7715AE-1EAF-4F1C-8EA5-495AA0E5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Pages>
  <Words>1546</Words>
  <Characters>8817</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205</cp:revision>
  <dcterms:created xsi:type="dcterms:W3CDTF">2018-08-08T08:41:00Z</dcterms:created>
  <dcterms:modified xsi:type="dcterms:W3CDTF">2018-09-28T08:57:00Z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